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80" w:lineRule="auto"/>
        <w:jc w:val="center"/>
        <w:rPr>
          <w:rFonts w:hint="eastAsia" w:ascii="Arial" w:hAnsi="Arial" w:eastAsia="Arial-BoldMT" w:cs="Arial"/>
          <w:b/>
          <w:bCs/>
          <w:kern w:val="0"/>
          <w:sz w:val="24"/>
          <w:szCs w:val="24"/>
        </w:rPr>
      </w:pPr>
      <w:r>
        <w:rPr>
          <w:rFonts w:ascii="Arial" w:hAnsi="Arial" w:eastAsia="Arial-BoldMT" w:cs="Arial"/>
          <w:b/>
          <w:bCs/>
          <w:kern w:val="0"/>
          <w:sz w:val="24"/>
          <w:szCs w:val="24"/>
        </w:rPr>
        <w:t>Supplementary Materials for</w:t>
      </w:r>
      <w:bookmarkStart w:id="0" w:name="OLE_LINK21"/>
    </w:p>
    <w:p>
      <w:pPr>
        <w:spacing w:line="480" w:lineRule="auto"/>
        <w:jc w:val="lef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This file includes:</w:t>
      </w:r>
    </w:p>
    <w:bookmarkEnd w:id="0"/>
    <w:p>
      <w:pPr>
        <w:widowControl/>
        <w:spacing w:line="480" w:lineRule="auto"/>
        <w:jc w:val="left"/>
        <w:rPr>
          <w:rFonts w:ascii="Arial" w:hAnsi="Arial" w:eastAsia="等线" w:cs="Arial"/>
          <w:b w:val="0"/>
          <w:bCs w:val="0"/>
          <w:sz w:val="24"/>
          <w:szCs w:val="24"/>
        </w:rPr>
      </w:pPr>
      <w:r>
        <w:rPr>
          <w:rFonts w:ascii="Arial" w:hAnsi="Arial" w:eastAsia="等线" w:cs="Arial"/>
          <w:b/>
          <w:sz w:val="24"/>
          <w:szCs w:val="24"/>
        </w:rPr>
        <w:t xml:space="preserve">Table S1. </w:t>
      </w:r>
      <w:r>
        <w:rPr>
          <w:rFonts w:ascii="Arial" w:hAnsi="Arial" w:eastAsia="等线" w:cs="Arial"/>
          <w:b w:val="0"/>
          <w:bCs w:val="0"/>
          <w:sz w:val="24"/>
          <w:szCs w:val="24"/>
        </w:rPr>
        <w:t xml:space="preserve">Description of </w:t>
      </w:r>
      <w:r>
        <w:rPr>
          <w:rFonts w:hint="default" w:ascii="Arial" w:hAnsi="Arial" w:eastAsia="Segoe UI" w:cs="Arial"/>
          <w:b w:val="0"/>
          <w:bCs w:val="0"/>
          <w:i w:val="0"/>
          <w:iCs w:val="0"/>
          <w:caps w:val="0"/>
          <w:color w:val="212529"/>
          <w:spacing w:val="0"/>
          <w:sz w:val="24"/>
          <w:szCs w:val="24"/>
          <w:shd w:val="clear" w:fill="FFFFFF"/>
        </w:rPr>
        <w:t>Type 2 diabetes</w:t>
      </w:r>
      <w:r>
        <w:rPr>
          <w:rFonts w:ascii="Arial" w:hAnsi="Arial" w:eastAsia="等线" w:cs="Arial"/>
          <w:b w:val="0"/>
          <w:bCs w:val="0"/>
          <w:sz w:val="24"/>
          <w:szCs w:val="24"/>
        </w:rPr>
        <w:t xml:space="preserve">, </w:t>
      </w:r>
      <w:r>
        <w:rPr>
          <w:rFonts w:hint="default" w:ascii="Arial" w:hAnsi="Arial" w:eastAsia="Segoe UI" w:cs="Arial"/>
          <w:b w:val="0"/>
          <w:bCs w:val="0"/>
          <w:i w:val="0"/>
          <w:iCs w:val="0"/>
          <w:caps w:val="0"/>
          <w:color w:val="212529"/>
          <w:spacing w:val="0"/>
          <w:sz w:val="24"/>
          <w:szCs w:val="24"/>
          <w:shd w:val="clear" w:fill="FFFFFF"/>
        </w:rPr>
        <w:t>Coronary artery disease</w:t>
      </w:r>
      <w:r>
        <w:rPr>
          <w:rFonts w:ascii="Arial" w:hAnsi="Arial" w:eastAsia="等线" w:cs="Arial"/>
          <w:b w:val="0"/>
          <w:bCs w:val="0"/>
          <w:sz w:val="24"/>
          <w:szCs w:val="24"/>
        </w:rPr>
        <w:t>, gut microbiota and metabolite.</w:t>
      </w:r>
    </w:p>
    <w:p>
      <w:pPr>
        <w:widowControl/>
        <w:spacing w:line="480" w:lineRule="auto"/>
        <w:jc w:val="left"/>
        <w:rPr>
          <w:rFonts w:hint="eastAsia" w:ascii="Arial" w:hAnsi="Arial" w:eastAsia="等线" w:cs="Arial"/>
          <w:b w:val="0"/>
          <w:bCs/>
          <w:sz w:val="24"/>
          <w:szCs w:val="24"/>
          <w:lang w:val="en-US" w:eastAsia="zh-CN"/>
        </w:rPr>
      </w:pPr>
      <w:r>
        <w:rPr>
          <w:rFonts w:ascii="Arial" w:hAnsi="Arial" w:eastAsia="等线" w:cs="Arial"/>
          <w:b/>
          <w:sz w:val="24"/>
          <w:szCs w:val="24"/>
        </w:rPr>
        <w:t xml:space="preserve">Table S2. </w:t>
      </w:r>
      <w:r>
        <w:rPr>
          <w:rFonts w:hint="eastAsia" w:ascii="Arial" w:hAnsi="Arial" w:eastAsia="等线" w:cs="Arial"/>
          <w:b w:val="0"/>
          <w:bCs/>
          <w:sz w:val="24"/>
          <w:szCs w:val="24"/>
        </w:rPr>
        <w:t>Results of a bidirectional Mendelian randomization analysis of type 2 diabetes</w:t>
      </w:r>
      <w:r>
        <w:rPr>
          <w:rFonts w:hint="eastAsia" w:ascii="Arial" w:hAnsi="Arial" w:eastAsia="等线" w:cs="Arial"/>
          <w:b w:val="0"/>
          <w:bCs/>
          <w:sz w:val="24"/>
          <w:szCs w:val="24"/>
          <w:lang w:val="en-US" w:eastAsia="zh-CN"/>
        </w:rPr>
        <w:t xml:space="preserve"> (P &lt; 5×10</w:t>
      </w:r>
      <w:r>
        <w:rPr>
          <w:rFonts w:hint="eastAsia" w:ascii="Arial" w:hAnsi="Arial" w:eastAsia="等线" w:cs="Arial"/>
          <w:b w:val="0"/>
          <w:bCs/>
          <w:sz w:val="24"/>
          <w:szCs w:val="24"/>
          <w:vertAlign w:val="superscript"/>
          <w:lang w:val="en-US" w:eastAsia="zh-CN"/>
        </w:rPr>
        <w:t>-8</w:t>
      </w:r>
      <w:r>
        <w:rPr>
          <w:rFonts w:hint="eastAsia" w:ascii="Arial" w:hAnsi="Arial" w:eastAsia="等线" w:cs="Arial"/>
          <w:b w:val="0"/>
          <w:bCs/>
          <w:sz w:val="24"/>
          <w:szCs w:val="24"/>
          <w:lang w:val="en-US" w:eastAsia="zh-CN"/>
        </w:rPr>
        <w:t>)</w:t>
      </w:r>
      <w:r>
        <w:rPr>
          <w:rFonts w:hint="eastAsia" w:ascii="Arial" w:hAnsi="Arial" w:eastAsia="等线" w:cs="Arial"/>
          <w:b w:val="0"/>
          <w:bCs/>
          <w:sz w:val="24"/>
          <w:szCs w:val="24"/>
        </w:rPr>
        <w:t xml:space="preserve"> and coronary artery disease</w:t>
      </w:r>
      <w:r>
        <w:rPr>
          <w:rFonts w:hint="eastAsia" w:ascii="Arial" w:hAnsi="Arial" w:eastAsia="等线" w:cs="Arial"/>
          <w:b w:val="0"/>
          <w:bCs/>
          <w:sz w:val="24"/>
          <w:szCs w:val="24"/>
          <w:lang w:val="en-US" w:eastAsia="zh-CN"/>
        </w:rPr>
        <w:t xml:space="preserve"> (P &lt; 5×10</w:t>
      </w:r>
      <w:r>
        <w:rPr>
          <w:rFonts w:hint="eastAsia" w:ascii="Arial" w:hAnsi="Arial" w:eastAsia="等线" w:cs="Arial"/>
          <w:b w:val="0"/>
          <w:bCs/>
          <w:sz w:val="24"/>
          <w:szCs w:val="24"/>
          <w:vertAlign w:val="superscript"/>
          <w:lang w:val="en-US" w:eastAsia="zh-CN"/>
        </w:rPr>
        <w:t>-8</w:t>
      </w:r>
      <w:r>
        <w:rPr>
          <w:rFonts w:hint="eastAsia" w:ascii="Arial" w:hAnsi="Arial" w:eastAsia="等线" w:cs="Arial"/>
          <w:b w:val="0"/>
          <w:bCs/>
          <w:sz w:val="24"/>
          <w:szCs w:val="24"/>
          <w:lang w:val="en-US" w:eastAsia="zh-CN"/>
        </w:rPr>
        <w:t>).</w:t>
      </w:r>
    </w:p>
    <w:p>
      <w:pPr>
        <w:widowControl/>
        <w:spacing w:line="480" w:lineRule="auto"/>
        <w:rPr>
          <w:rFonts w:ascii="Arial" w:hAnsi="Arial" w:eastAsia="等线" w:cs="Arial"/>
          <w:sz w:val="24"/>
          <w:szCs w:val="24"/>
        </w:rPr>
      </w:pPr>
      <w:r>
        <w:rPr>
          <w:rFonts w:ascii="Arial" w:hAnsi="Arial" w:eastAsia="等线" w:cs="Arial"/>
          <w:b/>
          <w:sz w:val="24"/>
          <w:szCs w:val="24"/>
        </w:rPr>
        <w:t>Table S</w:t>
      </w:r>
      <w:r>
        <w:rPr>
          <w:rFonts w:hint="eastAsia" w:ascii="Arial" w:hAnsi="Arial" w:eastAsia="等线" w:cs="Arial"/>
          <w:b/>
          <w:sz w:val="24"/>
          <w:szCs w:val="24"/>
          <w:lang w:val="en-US" w:eastAsia="zh-CN"/>
        </w:rPr>
        <w:t>3</w:t>
      </w:r>
      <w:r>
        <w:rPr>
          <w:rFonts w:ascii="Arial" w:hAnsi="Arial" w:eastAsia="等线" w:cs="Arial"/>
          <w:b/>
          <w:sz w:val="24"/>
          <w:szCs w:val="24"/>
        </w:rPr>
        <w:t xml:space="preserve">. </w:t>
      </w:r>
      <w:r>
        <w:rPr>
          <w:rFonts w:ascii="Arial" w:hAnsi="Arial" w:eastAsia="等线" w:cs="Arial"/>
          <w:sz w:val="24"/>
          <w:szCs w:val="24"/>
        </w:rPr>
        <w:t xml:space="preserve">MR Results of metabolites on </w:t>
      </w:r>
      <w:r>
        <w:rPr>
          <w:rFonts w:hint="eastAsia" w:ascii="Arial" w:hAnsi="Arial" w:eastAsia="等线" w:cs="Arial"/>
          <w:sz w:val="24"/>
          <w:szCs w:val="24"/>
          <w:lang w:val="en-US" w:eastAsia="zh-CN"/>
        </w:rPr>
        <w:t>T2D</w:t>
      </w:r>
      <w:r>
        <w:rPr>
          <w:rFonts w:ascii="Arial" w:hAnsi="Arial" w:eastAsia="等线" w:cs="Arial"/>
          <w:sz w:val="24"/>
          <w:szCs w:val="24"/>
        </w:rPr>
        <w:t>.</w:t>
      </w:r>
    </w:p>
    <w:p>
      <w:pPr>
        <w:spacing w:line="480" w:lineRule="auto"/>
        <w:rPr>
          <w:rFonts w:ascii="Arial" w:hAnsi="Arial" w:eastAsia="等线" w:cs="Arial"/>
          <w:sz w:val="24"/>
          <w:szCs w:val="24"/>
        </w:rPr>
      </w:pPr>
      <w:r>
        <w:rPr>
          <w:rFonts w:ascii="Arial" w:hAnsi="Arial" w:eastAsia="等线" w:cs="Arial"/>
          <w:b/>
          <w:sz w:val="24"/>
          <w:szCs w:val="24"/>
        </w:rPr>
        <w:t>Table S</w:t>
      </w:r>
      <w:r>
        <w:rPr>
          <w:rFonts w:hint="eastAsia" w:ascii="Arial" w:hAnsi="Arial" w:eastAsia="等线" w:cs="Arial"/>
          <w:b/>
          <w:sz w:val="24"/>
          <w:szCs w:val="24"/>
          <w:lang w:val="en-US" w:eastAsia="zh-CN"/>
        </w:rPr>
        <w:t>4</w:t>
      </w:r>
      <w:r>
        <w:rPr>
          <w:rFonts w:ascii="Arial" w:hAnsi="Arial" w:eastAsia="等线" w:cs="Arial"/>
          <w:b/>
          <w:sz w:val="24"/>
          <w:szCs w:val="24"/>
        </w:rPr>
        <w:t>.</w:t>
      </w:r>
      <w:r>
        <w:rPr>
          <w:rFonts w:ascii="Arial" w:hAnsi="Arial" w:eastAsia="等线" w:cs="Arial"/>
          <w:sz w:val="24"/>
          <w:szCs w:val="24"/>
        </w:rPr>
        <w:t xml:space="preserve"> MR Results of metabolites on </w:t>
      </w:r>
      <w:r>
        <w:rPr>
          <w:rFonts w:hint="eastAsia" w:ascii="Arial" w:hAnsi="Arial" w:eastAsia="等线" w:cs="Arial"/>
          <w:sz w:val="24"/>
          <w:szCs w:val="24"/>
          <w:lang w:val="en-US" w:eastAsia="zh-CN"/>
        </w:rPr>
        <w:t>CAD</w:t>
      </w:r>
      <w:r>
        <w:rPr>
          <w:rFonts w:ascii="Arial" w:hAnsi="Arial" w:eastAsia="等线" w:cs="Arial"/>
          <w:sz w:val="24"/>
          <w:szCs w:val="24"/>
        </w:rPr>
        <w:t>.</w:t>
      </w:r>
    </w:p>
    <w:p>
      <w:pPr>
        <w:spacing w:line="480" w:lineRule="auto"/>
        <w:rPr>
          <w:rFonts w:hint="eastAsia" w:ascii="Arial" w:hAnsi="Arial" w:cs="Arial" w:eastAsiaTheme="minorEastAsia"/>
          <w:b w:val="0"/>
          <w:bCs w:val="0"/>
          <w:sz w:val="24"/>
          <w:szCs w:val="24"/>
          <w:lang w:val="en-US" w:eastAsia="zh-CN"/>
        </w:rPr>
      </w:pPr>
      <w:r>
        <w:rPr>
          <w:rFonts w:hint="default" w:ascii="Arial" w:hAnsi="Arial" w:cs="Arial"/>
          <w:b/>
          <w:bCs/>
          <w:sz w:val="24"/>
          <w:szCs w:val="24"/>
        </w:rPr>
        <w:t xml:space="preserve">Table </w:t>
      </w:r>
      <w:r>
        <w:rPr>
          <w:rFonts w:hint="eastAsia" w:ascii="Arial" w:hAnsi="Arial" w:cs="Arial"/>
          <w:b/>
          <w:bCs/>
          <w:sz w:val="24"/>
          <w:szCs w:val="24"/>
          <w:lang w:val="en-US" w:eastAsia="zh-CN"/>
        </w:rPr>
        <w:t>S5</w:t>
      </w:r>
      <w:r>
        <w:rPr>
          <w:rFonts w:hint="default" w:ascii="Arial" w:hAnsi="Arial" w:cs="Arial"/>
          <w:b/>
          <w:bCs/>
          <w:sz w:val="24"/>
          <w:szCs w:val="24"/>
        </w:rPr>
        <w:t>.</w:t>
      </w:r>
      <w:r>
        <w:rPr>
          <w:rFonts w:hint="eastAsia" w:ascii="Arial" w:hAnsi="Arial" w:cs="Arial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="Arial" w:hAnsi="Arial" w:cs="Arial"/>
          <w:b w:val="0"/>
          <w:bCs w:val="0"/>
          <w:sz w:val="24"/>
          <w:szCs w:val="24"/>
          <w:lang w:val="en-US" w:eastAsia="zh-CN"/>
        </w:rPr>
        <w:t>P</w:t>
      </w:r>
      <w:r>
        <w:rPr>
          <w:rFonts w:hint="default" w:ascii="Arial" w:hAnsi="Arial" w:cs="Arial"/>
          <w:b w:val="0"/>
          <w:bCs w:val="0"/>
          <w:sz w:val="24"/>
          <w:szCs w:val="24"/>
        </w:rPr>
        <w:t>articulars of SNPs used in MR analyses</w:t>
      </w:r>
      <w:r>
        <w:rPr>
          <w:rFonts w:hint="eastAsia" w:ascii="Arial" w:hAnsi="Arial" w:cs="Arial"/>
          <w:b w:val="0"/>
          <w:bCs w:val="0"/>
          <w:sz w:val="24"/>
          <w:szCs w:val="24"/>
          <w:lang w:val="en-US" w:eastAsia="zh-CN"/>
        </w:rPr>
        <w:t xml:space="preserve"> of gut </w:t>
      </w:r>
      <w:r>
        <w:rPr>
          <w:rFonts w:hint="default" w:ascii="Arial" w:hAnsi="Arial" w:cs="Arial"/>
          <w:b w:val="0"/>
          <w:bCs w:val="0"/>
          <w:sz w:val="24"/>
          <w:szCs w:val="24"/>
        </w:rPr>
        <w:t>microbiota</w:t>
      </w:r>
      <w:r>
        <w:rPr>
          <w:rFonts w:hint="eastAsia" w:ascii="Arial" w:hAnsi="Arial" w:cs="Arial"/>
          <w:b w:val="0"/>
          <w:bCs w:val="0"/>
          <w:sz w:val="24"/>
          <w:szCs w:val="24"/>
          <w:lang w:val="en-US" w:eastAsia="zh-CN"/>
        </w:rPr>
        <w:t>.</w:t>
      </w:r>
    </w:p>
    <w:p>
      <w:pPr>
        <w:spacing w:line="480" w:lineRule="auto"/>
        <w:rPr>
          <w:rFonts w:ascii="Arial" w:hAnsi="Arial" w:eastAsia="等线" w:cs="Arial"/>
          <w:sz w:val="24"/>
          <w:szCs w:val="24"/>
        </w:rPr>
      </w:pPr>
      <w:r>
        <w:rPr>
          <w:rFonts w:ascii="Arial" w:hAnsi="Arial" w:eastAsia="等线" w:cs="Arial"/>
          <w:b/>
          <w:sz w:val="24"/>
          <w:szCs w:val="24"/>
        </w:rPr>
        <w:t>Table S</w:t>
      </w:r>
      <w:r>
        <w:rPr>
          <w:rFonts w:hint="eastAsia" w:ascii="Arial" w:hAnsi="Arial" w:eastAsia="等线" w:cs="Arial"/>
          <w:b/>
          <w:sz w:val="24"/>
          <w:szCs w:val="24"/>
          <w:lang w:val="en-US" w:eastAsia="zh-CN"/>
        </w:rPr>
        <w:t>6</w:t>
      </w:r>
      <w:r>
        <w:rPr>
          <w:rFonts w:ascii="Arial" w:hAnsi="Arial" w:eastAsia="等线" w:cs="Arial"/>
          <w:b/>
          <w:sz w:val="24"/>
          <w:szCs w:val="24"/>
        </w:rPr>
        <w:t>.</w:t>
      </w:r>
      <w:r>
        <w:rPr>
          <w:rFonts w:ascii="Arial" w:hAnsi="Arial" w:eastAsia="等线" w:cs="Arial"/>
          <w:sz w:val="24"/>
          <w:szCs w:val="24"/>
        </w:rPr>
        <w:t xml:space="preserve"> MR Power calculation for detecting significant (P &lt; 0.05) causal effect of gut microbiota on the risk of </w:t>
      </w:r>
      <w:r>
        <w:rPr>
          <w:rFonts w:hint="eastAsia" w:ascii="Arial" w:hAnsi="Arial" w:eastAsia="等线" w:cs="Arial"/>
          <w:sz w:val="24"/>
          <w:szCs w:val="24"/>
          <w:lang w:val="en-US" w:eastAsia="zh-CN"/>
        </w:rPr>
        <w:t>T2D/CAD</w:t>
      </w:r>
      <w:r>
        <w:rPr>
          <w:rFonts w:ascii="Arial" w:hAnsi="Arial" w:eastAsia="等线" w:cs="Arial"/>
          <w:sz w:val="24"/>
          <w:szCs w:val="24"/>
        </w:rPr>
        <w:t>, and</w:t>
      </w:r>
      <w:r>
        <w:rPr>
          <w:rFonts w:hint="eastAsia" w:ascii="Arial" w:hAnsi="Arial" w:eastAsia="等线" w:cs="Arial"/>
          <w:sz w:val="24"/>
          <w:szCs w:val="24"/>
          <w:lang w:val="en-US" w:eastAsia="zh-CN"/>
        </w:rPr>
        <w:t xml:space="preserve"> T2D/CAD</w:t>
      </w:r>
      <w:r>
        <w:rPr>
          <w:rFonts w:ascii="Arial" w:hAnsi="Arial" w:eastAsia="等线" w:cs="Arial"/>
          <w:sz w:val="24"/>
          <w:szCs w:val="24"/>
        </w:rPr>
        <w:t xml:space="preserve"> on </w:t>
      </w:r>
      <w:r>
        <w:rPr>
          <w:rFonts w:hint="eastAsia" w:ascii="Arial" w:hAnsi="Arial" w:eastAsia="等线" w:cs="Arial"/>
          <w:sz w:val="24"/>
          <w:szCs w:val="24"/>
          <w:lang w:val="en-US" w:eastAsia="zh-CN"/>
        </w:rPr>
        <w:t>the risk of gut microbiota</w:t>
      </w:r>
      <w:r>
        <w:rPr>
          <w:rFonts w:ascii="Arial" w:hAnsi="Arial" w:eastAsia="等线" w:cs="Arial"/>
          <w:sz w:val="24"/>
          <w:szCs w:val="24"/>
        </w:rPr>
        <w:t>.</w:t>
      </w:r>
    </w:p>
    <w:p>
      <w:pPr>
        <w:widowControl/>
        <w:spacing w:line="480" w:lineRule="auto"/>
        <w:jc w:val="lef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Figure S1.</w:t>
      </w:r>
      <w:r>
        <w:rPr>
          <w:rFonts w:ascii="Arial" w:hAnsi="Arial" w:cs="Arial"/>
          <w:sz w:val="24"/>
          <w:szCs w:val="24"/>
        </w:rPr>
        <w:t xml:space="preserve"> Leave-one-out analysis of inverse-variance weighted (IVW) estimates between genetically determined gut microbiota traits (p &lt; 1 × 10</w:t>
      </w:r>
      <w:r>
        <w:rPr>
          <w:rFonts w:ascii="Arial" w:hAnsi="Arial" w:cs="Arial"/>
          <w:sz w:val="24"/>
          <w:szCs w:val="24"/>
          <w:vertAlign w:val="superscript"/>
        </w:rPr>
        <w:t>-5</w:t>
      </w:r>
      <w:r>
        <w:rPr>
          <w:rFonts w:ascii="Arial" w:hAnsi="Arial" w:cs="Arial"/>
          <w:sz w:val="24"/>
          <w:szCs w:val="24"/>
        </w:rPr>
        <w:t xml:space="preserve">) and </w:t>
      </w:r>
      <w:r>
        <w:rPr>
          <w:rFonts w:hint="default" w:ascii="Arial" w:hAnsi="Arial" w:eastAsia="Segoe UI" w:cs="Arial"/>
          <w:b w:val="0"/>
          <w:bCs w:val="0"/>
          <w:i w:val="0"/>
          <w:iCs w:val="0"/>
          <w:caps w:val="0"/>
          <w:color w:val="212529"/>
          <w:spacing w:val="0"/>
          <w:sz w:val="24"/>
          <w:szCs w:val="24"/>
          <w:shd w:val="clear" w:fill="FFFFFF"/>
        </w:rPr>
        <w:t>Type 2 diabetes</w:t>
      </w:r>
      <w:r>
        <w:rPr>
          <w:rFonts w:ascii="Arial" w:hAnsi="Arial" w:cs="Arial"/>
          <w:sz w:val="24"/>
          <w:szCs w:val="24"/>
        </w:rPr>
        <w:t xml:space="preserve"> (</w:t>
      </w:r>
      <w:r>
        <w:rPr>
          <w:rFonts w:hint="eastAsia" w:ascii="Arial" w:hAnsi="Arial" w:cs="Arial"/>
          <w:sz w:val="24"/>
          <w:szCs w:val="24"/>
          <w:lang w:val="en-US" w:eastAsia="zh-CN"/>
        </w:rPr>
        <w:t>T2D</w:t>
      </w:r>
      <w:r>
        <w:rPr>
          <w:rFonts w:ascii="Arial" w:hAnsi="Arial" w:cs="Arial"/>
          <w:sz w:val="24"/>
          <w:szCs w:val="24"/>
        </w:rPr>
        <w:t xml:space="preserve">), as well as </w:t>
      </w:r>
      <w:r>
        <w:rPr>
          <w:rFonts w:hint="eastAsia" w:ascii="Arial" w:hAnsi="Arial" w:eastAsia="等线" w:cs="Arial"/>
          <w:b w:val="0"/>
          <w:bCs/>
          <w:sz w:val="24"/>
          <w:szCs w:val="24"/>
        </w:rPr>
        <w:t>coronary artery disease</w:t>
      </w:r>
      <w:r>
        <w:rPr>
          <w:rFonts w:ascii="Arial" w:hAnsi="Arial" w:cs="Arial"/>
          <w:sz w:val="24"/>
          <w:szCs w:val="24"/>
        </w:rPr>
        <w:t xml:space="preserve"> (</w:t>
      </w:r>
      <w:r>
        <w:rPr>
          <w:rFonts w:hint="eastAsia" w:ascii="Arial" w:hAnsi="Arial" w:cs="Arial"/>
          <w:sz w:val="24"/>
          <w:szCs w:val="24"/>
          <w:lang w:val="en-US" w:eastAsia="zh-CN"/>
        </w:rPr>
        <w:t>CAD</w:t>
      </w:r>
      <w:r>
        <w:rPr>
          <w:rFonts w:ascii="Arial" w:hAnsi="Arial" w:cs="Arial"/>
          <w:sz w:val="24"/>
          <w:szCs w:val="24"/>
        </w:rPr>
        <w:t>).</w:t>
      </w:r>
    </w:p>
    <w:p>
      <w:pPr>
        <w:widowControl/>
        <w:spacing w:line="480" w:lineRule="auto"/>
        <w:jc w:val="lef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Figure S2. </w:t>
      </w:r>
      <w:r>
        <w:rPr>
          <w:rFonts w:ascii="Arial" w:hAnsi="Arial" w:cs="Arial"/>
          <w:sz w:val="24"/>
          <w:szCs w:val="24"/>
        </w:rPr>
        <w:t xml:space="preserve">Leave-one-out analysis of inverse-variance weighted (IVW) estimates between genetically determined </w:t>
      </w:r>
      <w:r>
        <w:rPr>
          <w:rFonts w:hint="eastAsia" w:ascii="Arial" w:hAnsi="Arial" w:cs="Arial"/>
          <w:sz w:val="24"/>
          <w:szCs w:val="24"/>
        </w:rPr>
        <w:t>type 2 diabetes</w:t>
      </w:r>
      <w:r>
        <w:rPr>
          <w:rFonts w:hint="eastAsia" w:ascii="Arial" w:hAnsi="Arial" w:cs="Arial"/>
          <w:sz w:val="24"/>
          <w:szCs w:val="24"/>
          <w:lang w:val="en-US" w:eastAsia="zh-CN"/>
        </w:rPr>
        <w:t xml:space="preserve"> (T2D)</w:t>
      </w:r>
      <w:r>
        <w:rPr>
          <w:rFonts w:hint="eastAsia" w:ascii="Arial" w:hAnsi="Arial" w:cs="Arial"/>
          <w:sz w:val="24"/>
          <w:szCs w:val="24"/>
        </w:rPr>
        <w:t xml:space="preserve"> traits</w:t>
      </w:r>
      <w:r>
        <w:rPr>
          <w:rFonts w:hint="eastAsia" w:ascii="Arial" w:hAnsi="Arial" w:cs="Arial"/>
          <w:sz w:val="24"/>
          <w:szCs w:val="24"/>
          <w:lang w:val="en-US" w:eastAsia="zh-CN"/>
        </w:rPr>
        <w:t xml:space="preserve"> </w:t>
      </w:r>
      <w:r>
        <w:rPr>
          <w:rFonts w:hint="eastAsia" w:ascii="Arial" w:hAnsi="Arial" w:eastAsia="等线" w:cs="Arial"/>
          <w:b w:val="0"/>
          <w:bCs/>
          <w:sz w:val="24"/>
          <w:szCs w:val="24"/>
          <w:lang w:val="en-US" w:eastAsia="zh-CN"/>
        </w:rPr>
        <w:t>(P &lt; 5×10</w:t>
      </w:r>
      <w:r>
        <w:rPr>
          <w:rFonts w:hint="eastAsia" w:ascii="Arial" w:hAnsi="Arial" w:eastAsia="等线" w:cs="Arial"/>
          <w:b w:val="0"/>
          <w:bCs/>
          <w:sz w:val="24"/>
          <w:szCs w:val="24"/>
          <w:vertAlign w:val="superscript"/>
          <w:lang w:val="en-US" w:eastAsia="zh-CN"/>
        </w:rPr>
        <w:t>-8</w:t>
      </w:r>
      <w:r>
        <w:rPr>
          <w:rFonts w:hint="eastAsia" w:ascii="Arial" w:hAnsi="Arial" w:eastAsia="等线" w:cs="Arial"/>
          <w:b w:val="0"/>
          <w:bCs/>
          <w:sz w:val="24"/>
          <w:szCs w:val="24"/>
          <w:lang w:val="en-US" w:eastAsia="zh-CN"/>
        </w:rPr>
        <w:t>)</w:t>
      </w:r>
      <w:r>
        <w:rPr>
          <w:rFonts w:hint="eastAsia" w:ascii="Arial" w:hAnsi="Arial" w:cs="Arial"/>
          <w:sz w:val="24"/>
          <w:szCs w:val="24"/>
        </w:rPr>
        <w:t>, as well as coronary artery disease</w:t>
      </w:r>
      <w:r>
        <w:rPr>
          <w:rFonts w:hint="eastAsia" w:ascii="Arial" w:hAnsi="Arial" w:cs="Arial"/>
          <w:sz w:val="24"/>
          <w:szCs w:val="24"/>
          <w:lang w:val="en-US" w:eastAsia="zh-CN"/>
        </w:rPr>
        <w:t xml:space="preserve"> (CAD)</w:t>
      </w:r>
      <w:r>
        <w:rPr>
          <w:rFonts w:hint="eastAsia" w:ascii="Arial" w:hAnsi="Arial" w:cs="Arial"/>
          <w:sz w:val="24"/>
          <w:szCs w:val="24"/>
        </w:rPr>
        <w:t xml:space="preserve"> traits</w:t>
      </w:r>
      <w:r>
        <w:rPr>
          <w:rFonts w:hint="eastAsia" w:ascii="Arial" w:hAnsi="Arial" w:cs="Arial"/>
          <w:sz w:val="24"/>
          <w:szCs w:val="24"/>
          <w:lang w:val="en-US" w:eastAsia="zh-CN"/>
        </w:rPr>
        <w:t xml:space="preserve"> </w:t>
      </w:r>
      <w:r>
        <w:rPr>
          <w:rFonts w:hint="eastAsia" w:ascii="Arial" w:hAnsi="Arial" w:eastAsia="等线" w:cs="Arial"/>
          <w:b w:val="0"/>
          <w:bCs/>
          <w:sz w:val="24"/>
          <w:szCs w:val="24"/>
          <w:lang w:val="en-US" w:eastAsia="zh-CN"/>
        </w:rPr>
        <w:t>(P &lt; 5×10</w:t>
      </w:r>
      <w:r>
        <w:rPr>
          <w:rFonts w:hint="eastAsia" w:ascii="Arial" w:hAnsi="Arial" w:eastAsia="等线" w:cs="Arial"/>
          <w:b w:val="0"/>
          <w:bCs/>
          <w:sz w:val="24"/>
          <w:szCs w:val="24"/>
          <w:vertAlign w:val="superscript"/>
          <w:lang w:val="en-US" w:eastAsia="zh-CN"/>
        </w:rPr>
        <w:t>-8</w:t>
      </w:r>
      <w:r>
        <w:rPr>
          <w:rFonts w:hint="eastAsia" w:ascii="Arial" w:hAnsi="Arial" w:eastAsia="等线" w:cs="Arial"/>
          <w:b w:val="0"/>
          <w:bCs/>
          <w:sz w:val="24"/>
          <w:szCs w:val="24"/>
          <w:lang w:val="en-US" w:eastAsia="zh-CN"/>
        </w:rPr>
        <w:t>)</w:t>
      </w:r>
      <w:r>
        <w:rPr>
          <w:rFonts w:hint="eastAsia" w:ascii="Arial" w:hAnsi="Arial" w:cs="Arial"/>
          <w:sz w:val="24"/>
          <w:szCs w:val="24"/>
        </w:rPr>
        <w:t>, and gut microbiota.</w:t>
      </w:r>
    </w:p>
    <w:p>
      <w:pPr>
        <w:widowControl/>
        <w:spacing w:line="480" w:lineRule="auto"/>
        <w:jc w:val="lef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Figure S3. </w:t>
      </w:r>
      <w:r>
        <w:rPr>
          <w:rFonts w:ascii="Arial" w:hAnsi="Arial" w:cs="Arial"/>
          <w:sz w:val="24"/>
          <w:szCs w:val="24"/>
        </w:rPr>
        <w:t>Leave-one-out analysis of inverse-variance weighted (IVW) estimates between genetically determined metabolites traits (p &lt; 1 × 10</w:t>
      </w:r>
      <w:r>
        <w:rPr>
          <w:rFonts w:ascii="Arial" w:hAnsi="Arial" w:cs="Arial"/>
          <w:sz w:val="24"/>
          <w:szCs w:val="24"/>
          <w:vertAlign w:val="superscript"/>
        </w:rPr>
        <w:t>-5</w:t>
      </w:r>
      <w:r>
        <w:rPr>
          <w:rFonts w:ascii="Arial" w:hAnsi="Arial" w:cs="Arial"/>
          <w:sz w:val="24"/>
          <w:szCs w:val="24"/>
        </w:rPr>
        <w:t xml:space="preserve">) and </w:t>
      </w:r>
      <w:r>
        <w:rPr>
          <w:rFonts w:hint="default" w:ascii="Arial" w:hAnsi="Arial" w:eastAsia="Segoe UI" w:cs="Arial"/>
          <w:b w:val="0"/>
          <w:bCs w:val="0"/>
          <w:i w:val="0"/>
          <w:iCs w:val="0"/>
          <w:caps w:val="0"/>
          <w:color w:val="212529"/>
          <w:spacing w:val="0"/>
          <w:sz w:val="24"/>
          <w:szCs w:val="24"/>
          <w:shd w:val="clear" w:fill="FFFFFF"/>
        </w:rPr>
        <w:t>Type 2 diabetes</w:t>
      </w:r>
      <w:r>
        <w:rPr>
          <w:rFonts w:ascii="Arial" w:hAnsi="Arial" w:cs="Arial"/>
          <w:sz w:val="24"/>
          <w:szCs w:val="24"/>
        </w:rPr>
        <w:t xml:space="preserve"> (</w:t>
      </w:r>
      <w:r>
        <w:rPr>
          <w:rFonts w:hint="eastAsia" w:ascii="Arial" w:hAnsi="Arial" w:cs="Arial"/>
          <w:sz w:val="24"/>
          <w:szCs w:val="24"/>
          <w:lang w:val="en-US" w:eastAsia="zh-CN"/>
        </w:rPr>
        <w:t>T2D</w:t>
      </w:r>
      <w:r>
        <w:rPr>
          <w:rFonts w:ascii="Arial" w:hAnsi="Arial" w:cs="Arial"/>
          <w:sz w:val="24"/>
          <w:szCs w:val="24"/>
        </w:rPr>
        <w:t xml:space="preserve">), as well as </w:t>
      </w:r>
      <w:r>
        <w:rPr>
          <w:rFonts w:hint="eastAsia" w:ascii="Arial" w:hAnsi="Arial" w:eastAsia="等线" w:cs="Arial"/>
          <w:b w:val="0"/>
          <w:bCs/>
          <w:sz w:val="24"/>
          <w:szCs w:val="24"/>
        </w:rPr>
        <w:t>coronary artery disease</w:t>
      </w:r>
      <w:r>
        <w:rPr>
          <w:rFonts w:ascii="Arial" w:hAnsi="Arial" w:cs="Arial"/>
          <w:sz w:val="24"/>
          <w:szCs w:val="24"/>
        </w:rPr>
        <w:t xml:space="preserve"> (</w:t>
      </w:r>
      <w:r>
        <w:rPr>
          <w:rFonts w:hint="eastAsia" w:ascii="Arial" w:hAnsi="Arial" w:cs="Arial"/>
          <w:sz w:val="24"/>
          <w:szCs w:val="24"/>
          <w:lang w:val="en-US" w:eastAsia="zh-CN"/>
        </w:rPr>
        <w:t>CAD</w:t>
      </w:r>
      <w:r>
        <w:rPr>
          <w:rFonts w:ascii="Arial" w:hAnsi="Arial" w:cs="Arial"/>
          <w:sz w:val="24"/>
          <w:szCs w:val="24"/>
        </w:rPr>
        <w:t>).</w:t>
      </w:r>
    </w:p>
    <w:p>
      <w:pPr>
        <w:widowControl/>
        <w:spacing w:line="480" w:lineRule="auto"/>
        <w:jc w:val="lef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Additional information 1. </w:t>
      </w:r>
      <w:r>
        <w:rPr>
          <w:rFonts w:ascii="Arial" w:hAnsi="Arial" w:cs="Arial"/>
          <w:bCs/>
          <w:sz w:val="24"/>
          <w:szCs w:val="24"/>
        </w:rPr>
        <w:t>Harmonized data</w:t>
      </w:r>
      <w:r>
        <w:rPr>
          <w:rFonts w:hint="eastAsia" w:ascii="Arial" w:hAnsi="Arial" w:cs="Arial"/>
          <w:b/>
          <w:sz w:val="24"/>
          <w:szCs w:val="24"/>
        </w:rPr>
        <w:t>.</w:t>
      </w:r>
    </w:p>
    <w:p>
      <w:pPr>
        <w:widowControl/>
        <w:spacing w:line="480" w:lineRule="auto"/>
        <w:jc w:val="left"/>
        <w:rPr>
          <w:rFonts w:ascii="Arial" w:hAnsi="Arial" w:eastAsia="等线" w:cs="Arial"/>
          <w:b/>
          <w:bCs/>
          <w:sz w:val="20"/>
          <w:szCs w:val="20"/>
        </w:rPr>
        <w:sectPr>
          <w:pgSz w:w="11906" w:h="16838"/>
          <w:pgMar w:top="1440" w:right="1803" w:bottom="1440" w:left="1803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19" w:charSpace="0"/>
        </w:sectPr>
      </w:pPr>
      <w:r>
        <w:rPr>
          <w:rFonts w:ascii="Arial" w:hAnsi="Arial" w:cs="Arial"/>
          <w:b/>
          <w:sz w:val="24"/>
          <w:szCs w:val="24"/>
        </w:rPr>
        <w:t xml:space="preserve">Additional information 2. </w:t>
      </w:r>
      <w:r>
        <w:rPr>
          <w:rFonts w:ascii="Arial" w:hAnsi="Arial" w:cs="Arial"/>
          <w:bCs/>
          <w:sz w:val="24"/>
          <w:szCs w:val="24"/>
        </w:rPr>
        <w:t>Results of MR analysis.</w:t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line="9" w:lineRule="atLeast"/>
        <w:ind w:left="0" w:firstLine="0"/>
        <w:rPr>
          <w:rFonts w:ascii="Arial" w:hAnsi="Arial" w:eastAsia="等线" w:cs="Arial"/>
          <w:b/>
          <w:bCs/>
          <w:sz w:val="20"/>
          <w:szCs w:val="20"/>
        </w:rPr>
      </w:pPr>
      <w:r>
        <w:rPr>
          <w:rFonts w:ascii="Arial" w:hAnsi="Arial" w:eastAsia="等线" w:cs="Arial"/>
          <w:b/>
          <w:bCs/>
          <w:sz w:val="20"/>
          <w:szCs w:val="20"/>
        </w:rPr>
        <w:t xml:space="preserve">Table S1. Description of </w:t>
      </w:r>
      <w:r>
        <w:rPr>
          <w:rFonts w:hint="default" w:ascii="Arial" w:hAnsi="Arial" w:eastAsia="Segoe UI" w:cs="Arial"/>
          <w:i w:val="0"/>
          <w:iCs w:val="0"/>
          <w:caps w:val="0"/>
          <w:color w:val="212529"/>
          <w:spacing w:val="0"/>
          <w:sz w:val="20"/>
          <w:szCs w:val="20"/>
          <w:shd w:val="clear" w:fill="FFFFFF"/>
        </w:rPr>
        <w:t>Type 2 diabetes</w:t>
      </w:r>
      <w:r>
        <w:rPr>
          <w:rFonts w:ascii="Arial" w:hAnsi="Arial" w:eastAsia="等线" w:cs="Arial"/>
          <w:b/>
          <w:bCs/>
          <w:sz w:val="20"/>
          <w:szCs w:val="20"/>
        </w:rPr>
        <w:t xml:space="preserve">, </w:t>
      </w:r>
      <w:r>
        <w:rPr>
          <w:rFonts w:hint="default" w:ascii="Arial" w:hAnsi="Arial" w:eastAsia="Segoe UI" w:cs="Arial"/>
          <w:i w:val="0"/>
          <w:iCs w:val="0"/>
          <w:caps w:val="0"/>
          <w:color w:val="212529"/>
          <w:spacing w:val="0"/>
          <w:sz w:val="20"/>
          <w:szCs w:val="20"/>
          <w:shd w:val="clear" w:fill="FFFFFF"/>
        </w:rPr>
        <w:t>Coronary artery disease</w:t>
      </w:r>
      <w:r>
        <w:rPr>
          <w:rFonts w:ascii="Arial" w:hAnsi="Arial" w:eastAsia="等线" w:cs="Arial"/>
          <w:b/>
          <w:bCs/>
          <w:sz w:val="20"/>
          <w:szCs w:val="20"/>
        </w:rPr>
        <w:t>, gut microbiota and metabolite.</w:t>
      </w:r>
    </w:p>
    <w:p>
      <w:pPr>
        <w:rPr>
          <w:rFonts w:ascii="Arial" w:hAnsi="Arial" w:eastAsia="等线" w:cs="Arial"/>
          <w:b/>
          <w:bCs/>
          <w:sz w:val="20"/>
          <w:szCs w:val="20"/>
        </w:rPr>
      </w:pPr>
    </w:p>
    <w:tbl>
      <w:tblPr>
        <w:tblStyle w:val="5"/>
        <w:tblW w:w="1499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60"/>
        <w:gridCol w:w="1612"/>
        <w:gridCol w:w="1418"/>
        <w:gridCol w:w="1701"/>
        <w:gridCol w:w="1565"/>
        <w:gridCol w:w="1559"/>
        <w:gridCol w:w="850"/>
        <w:gridCol w:w="49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" w:hRule="atLeast"/>
          <w:jc w:val="center"/>
        </w:trPr>
        <w:tc>
          <w:tcPr>
            <w:tcW w:w="1360" w:type="dxa"/>
            <w:shd w:val="clear" w:color="auto" w:fill="FFFFFF" w:themeFill="background1"/>
            <w:vAlign w:val="center"/>
          </w:tcPr>
          <w:p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Traits</w:t>
            </w:r>
          </w:p>
        </w:tc>
        <w:tc>
          <w:tcPr>
            <w:tcW w:w="1612" w:type="dxa"/>
            <w:shd w:val="clear" w:color="auto" w:fill="FFFFFF" w:themeFill="background1"/>
            <w:vAlign w:val="center"/>
          </w:tcPr>
          <w:p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Consortium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 xml:space="preserve">First </w:t>
            </w:r>
            <w:r>
              <w:rPr>
                <w:rFonts w:hint="eastAsia"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a</w:t>
            </w: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uthor</w:t>
            </w:r>
          </w:p>
        </w:tc>
        <w:tc>
          <w:tcPr>
            <w:tcW w:w="1701" w:type="dxa"/>
            <w:shd w:val="clear" w:color="auto" w:fill="FFFFFF" w:themeFill="background1"/>
            <w:vAlign w:val="center"/>
          </w:tcPr>
          <w:p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Sample size</w:t>
            </w:r>
          </w:p>
        </w:tc>
        <w:tc>
          <w:tcPr>
            <w:tcW w:w="1565" w:type="dxa"/>
            <w:shd w:val="clear" w:color="auto" w:fill="FFFFFF" w:themeFill="background1"/>
            <w:vAlign w:val="center"/>
          </w:tcPr>
          <w:p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Populations</w:t>
            </w:r>
          </w:p>
        </w:tc>
        <w:tc>
          <w:tcPr>
            <w:tcW w:w="1559" w:type="dxa"/>
            <w:shd w:val="clear" w:color="auto" w:fill="FFFFFF" w:themeFill="background1"/>
            <w:vAlign w:val="center"/>
          </w:tcPr>
          <w:p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Journal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Year</w:t>
            </w:r>
          </w:p>
        </w:tc>
        <w:tc>
          <w:tcPr>
            <w:tcW w:w="4926" w:type="dxa"/>
            <w:shd w:val="clear" w:color="auto" w:fill="FFFFFF" w:themeFill="background1"/>
            <w:vAlign w:val="center"/>
          </w:tcPr>
          <w:p>
            <w:pPr>
              <w:widowControl/>
              <w:jc w:val="center"/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D</w:t>
            </w:r>
            <w:r>
              <w:rPr>
                <w:rFonts w:hint="eastAsia"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ownload</w:t>
            </w:r>
            <w:r>
              <w:rPr>
                <w:rFonts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 xml:space="preserve"> </w:t>
            </w:r>
            <w:r>
              <w:rPr>
                <w:rFonts w:hint="eastAsia" w:ascii="Arial" w:hAnsi="Arial" w:eastAsia="等线" w:cs="Arial"/>
                <w:b/>
                <w:bCs/>
                <w:color w:val="000000"/>
                <w:kern w:val="0"/>
                <w:sz w:val="20"/>
                <w:szCs w:val="20"/>
              </w:rPr>
              <w:t>link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78" w:hRule="atLeast"/>
          <w:jc w:val="center"/>
        </w:trPr>
        <w:tc>
          <w:tcPr>
            <w:tcW w:w="1360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hint="default" w:ascii="Arial" w:hAnsi="Arial" w:eastAsia="Segoe UI" w:cs="Arial"/>
                <w:i w:val="0"/>
                <w:iCs w:val="0"/>
                <w:caps w:val="0"/>
                <w:color w:val="212529"/>
                <w:spacing w:val="0"/>
                <w:sz w:val="20"/>
                <w:szCs w:val="20"/>
                <w:shd w:val="clear" w:fill="FFFFFF"/>
              </w:rPr>
              <w:t>Type 2 diabetes</w:t>
            </w:r>
          </w:p>
        </w:tc>
        <w:tc>
          <w:tcPr>
            <w:tcW w:w="1612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NA</w:t>
            </w:r>
          </w:p>
        </w:tc>
        <w:tc>
          <w:tcPr>
            <w:tcW w:w="1418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hint="default" w:ascii="Arial" w:hAnsi="Arial" w:eastAsia="Segoe UI" w:cs="Arial"/>
                <w:i w:val="0"/>
                <w:iCs w:val="0"/>
                <w:caps w:val="0"/>
                <w:color w:val="212529"/>
                <w:spacing w:val="0"/>
                <w:sz w:val="20"/>
                <w:szCs w:val="20"/>
                <w:shd w:val="clear" w:fill="FFFFFF"/>
              </w:rPr>
              <w:t>Xue A</w:t>
            </w:r>
          </w:p>
        </w:tc>
        <w:tc>
          <w:tcPr>
            <w:tcW w:w="1701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>655,666</w:t>
            </w:r>
          </w:p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(</w:t>
            </w: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>61,714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 xml:space="preserve"> cases /  </w:t>
            </w: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 xml:space="preserve">1,178 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controls)</w:t>
            </w:r>
          </w:p>
        </w:tc>
        <w:tc>
          <w:tcPr>
            <w:tcW w:w="1565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European ancestry</w:t>
            </w:r>
          </w:p>
        </w:tc>
        <w:tc>
          <w:tcPr>
            <w:tcW w:w="1559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563C1"/>
                <w:kern w:val="0"/>
                <w:sz w:val="20"/>
                <w:szCs w:val="20"/>
                <w:u w:val="single"/>
              </w:rPr>
            </w:pPr>
            <w:r>
              <w:fldChar w:fldCharType="begin"/>
            </w:r>
            <w:r>
              <w:instrText xml:space="preserve"> HYPERLINK "https://www.ncbi.nlm.nih.gov/pmc/articles/PMC6478889/" </w:instrText>
            </w:r>
            <w:r>
              <w:fldChar w:fldCharType="separate"/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Nat Commun.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fldChar w:fldCharType="end"/>
            </w:r>
          </w:p>
        </w:tc>
        <w:tc>
          <w:tcPr>
            <w:tcW w:w="850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201</w:t>
            </w: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>8</w:t>
            </w:r>
          </w:p>
        </w:tc>
        <w:tc>
          <w:tcPr>
            <w:tcW w:w="4926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</w:rPr>
              <w:t>https://gwas.mrcieu.ac.uk/datasets/ebi-a-GCST006867/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3" w:hRule="atLeast"/>
          <w:jc w:val="center"/>
        </w:trPr>
        <w:tc>
          <w:tcPr>
            <w:tcW w:w="1360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hint="default" w:ascii="Arial" w:hAnsi="Arial" w:eastAsia="Segoe UI" w:cs="Arial"/>
                <w:i w:val="0"/>
                <w:iCs w:val="0"/>
                <w:caps w:val="0"/>
                <w:color w:val="212529"/>
                <w:spacing w:val="0"/>
                <w:sz w:val="20"/>
                <w:szCs w:val="20"/>
                <w:shd w:val="clear" w:fill="FFFFFF"/>
              </w:rPr>
              <w:t>Coronary artery disease</w:t>
            </w:r>
          </w:p>
        </w:tc>
        <w:tc>
          <w:tcPr>
            <w:tcW w:w="1612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NA</w:t>
            </w:r>
          </w:p>
        </w:tc>
        <w:tc>
          <w:tcPr>
            <w:tcW w:w="1418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hint="default" w:ascii="Arial" w:hAnsi="Arial" w:eastAsia="Segoe UI" w:cs="Arial"/>
                <w:i w:val="0"/>
                <w:iCs w:val="0"/>
                <w:caps w:val="0"/>
                <w:color w:val="212529"/>
                <w:spacing w:val="0"/>
                <w:sz w:val="20"/>
                <w:szCs w:val="20"/>
                <w:shd w:val="clear" w:fill="FFFFFF"/>
              </w:rPr>
              <w:t>Nikpay M</w:t>
            </w:r>
          </w:p>
        </w:tc>
        <w:tc>
          <w:tcPr>
            <w:tcW w:w="1701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>141,217</w:t>
            </w:r>
          </w:p>
          <w:p>
            <w:pPr>
              <w:widowControl/>
              <w:spacing w:line="276" w:lineRule="auto"/>
              <w:jc w:val="center"/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>(42,096 cases /</w:t>
            </w:r>
          </w:p>
          <w:p>
            <w:pPr>
              <w:widowControl/>
              <w:spacing w:line="276" w:lineRule="auto"/>
              <w:jc w:val="center"/>
              <w:rPr>
                <w:rFonts w:hint="default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>361 controls)</w:t>
            </w:r>
          </w:p>
        </w:tc>
        <w:tc>
          <w:tcPr>
            <w:tcW w:w="1565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European ancestry</w:t>
            </w:r>
          </w:p>
        </w:tc>
        <w:tc>
          <w:tcPr>
            <w:tcW w:w="1559" w:type="dxa"/>
            <w:shd w:val="clear" w:color="000000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hint="default" w:ascii="Arial" w:hAnsi="Arial" w:eastAsia="Helvetica-BoldOblique" w:cs="Arial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>Nat Genet</w:t>
            </w:r>
            <w:r>
              <w:rPr>
                <w:rFonts w:hint="default" w:ascii="Arial" w:hAnsi="Arial" w:eastAsia="Helvetica-Bold" w:cs="Arial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>.</w:t>
            </w:r>
          </w:p>
        </w:tc>
        <w:tc>
          <w:tcPr>
            <w:tcW w:w="850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201</w:t>
            </w: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>5</w:t>
            </w:r>
          </w:p>
        </w:tc>
        <w:tc>
          <w:tcPr>
            <w:tcW w:w="4926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</w:rPr>
              <w:t>https://gwas.mrcieu.ac.uk/datasets/ebi-a-GCST003116/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3" w:hRule="atLeast"/>
          <w:jc w:val="center"/>
        </w:trPr>
        <w:tc>
          <w:tcPr>
            <w:tcW w:w="1360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Gut microbiota</w:t>
            </w:r>
          </w:p>
        </w:tc>
        <w:tc>
          <w:tcPr>
            <w:tcW w:w="1612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MiBioGen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1418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Kurilshikov</w:t>
            </w:r>
          </w:p>
        </w:tc>
        <w:tc>
          <w:tcPr>
            <w:tcW w:w="1701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18,340</w:t>
            </w:r>
          </w:p>
        </w:tc>
        <w:tc>
          <w:tcPr>
            <w:tcW w:w="1565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predominantly European ancestry</w:t>
            </w:r>
          </w:p>
        </w:tc>
        <w:tc>
          <w:tcPr>
            <w:tcW w:w="1559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Nat Genet.</w:t>
            </w:r>
          </w:p>
        </w:tc>
        <w:tc>
          <w:tcPr>
            <w:tcW w:w="850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2020</w:t>
            </w:r>
          </w:p>
        </w:tc>
        <w:tc>
          <w:tcPr>
            <w:tcW w:w="4926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https://mibiogen.gcc.rug.nl/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9" w:hRule="atLeast"/>
          <w:jc w:val="center"/>
        </w:trPr>
        <w:tc>
          <w:tcPr>
            <w:tcW w:w="1360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Metabolites</w:t>
            </w:r>
          </w:p>
        </w:tc>
        <w:tc>
          <w:tcPr>
            <w:tcW w:w="1612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FHS</w:t>
            </w:r>
          </w:p>
        </w:tc>
        <w:tc>
          <w:tcPr>
            <w:tcW w:w="1418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Rhee</w:t>
            </w:r>
          </w:p>
        </w:tc>
        <w:tc>
          <w:tcPr>
            <w:tcW w:w="1701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2076</w:t>
            </w:r>
          </w:p>
        </w:tc>
        <w:tc>
          <w:tcPr>
            <w:tcW w:w="1565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European ancestry</w:t>
            </w:r>
          </w:p>
        </w:tc>
        <w:tc>
          <w:tcPr>
            <w:tcW w:w="1559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Cell Metab.</w:t>
            </w:r>
          </w:p>
        </w:tc>
        <w:tc>
          <w:tcPr>
            <w:tcW w:w="850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2013</w:t>
            </w:r>
          </w:p>
        </w:tc>
        <w:tc>
          <w:tcPr>
            <w:tcW w:w="4926" w:type="dxa"/>
            <w:shd w:val="clear" w:color="000000" w:fill="FFFFFF"/>
            <w:vAlign w:val="center"/>
          </w:tcPr>
          <w:p>
            <w:pPr>
              <w:widowControl/>
              <w:spacing w:line="276" w:lineRule="auto"/>
              <w:jc w:val="center"/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https://www.cell.com/cell-metabolism/fulltext/S1550-4131(13)00257-X?_returnURL=https%3A%2F%2Flinkinghub.elsevier.com%2Fretrieve%2Fpii%2FS155041311300257X%3Fshowall%3Dtrue#secsectitle0110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14991" w:type="dxa"/>
            <w:gridSpan w:val="8"/>
            <w:shd w:val="clear" w:color="000000" w:fill="FFFFFF"/>
            <w:vAlign w:val="center"/>
          </w:tcPr>
          <w:p>
            <w:pPr>
              <w:spacing w:line="360" w:lineRule="auto"/>
              <w:jc w:val="left"/>
              <w:rPr>
                <w:rFonts w:ascii="Arial" w:hAnsi="Arial" w:eastAsia="等线" w:cs="Arial"/>
                <w:sz w:val="20"/>
                <w:szCs w:val="20"/>
                <w:vertAlign w:val="superscript"/>
              </w:rPr>
            </w:pPr>
            <w:r>
              <w:rPr>
                <w:rFonts w:ascii="Arial" w:hAnsi="Arial" w:eastAsia="等线" w:cs="Arial"/>
                <w:sz w:val="20"/>
                <w:szCs w:val="20"/>
                <w:vertAlign w:val="superscript"/>
              </w:rPr>
              <w:t>a</w:t>
            </w:r>
            <w:r>
              <w:rPr>
                <w:rFonts w:ascii="Arial" w:hAnsi="Arial" w:eastAsia="等线" w:cs="Arial"/>
                <w:sz w:val="20"/>
                <w:szCs w:val="20"/>
              </w:rPr>
              <w:t xml:space="preserve"> MiBioGen consortium curated and analyzed genome-wide genotypes and 16S fecal microbiome data from 18,340 individuals (24 cohorts). Twenty cohorts included samples of single ancestry, namely European (16 cohorts; n= 13,266), Middle Eastern (1 cohort; n= 481), East Asian (1 cohort; n= 811), American Hispanic/Latin (1 cohort; n= 1,097) and African American (1 cohort; n= 114), whereas four cohorts included samples from multiple ancestries (n = 2,571).</w:t>
            </w:r>
          </w:p>
        </w:tc>
      </w:tr>
    </w:tbl>
    <w:p>
      <w:pPr>
        <w:widowControl/>
        <w:spacing w:line="480" w:lineRule="auto"/>
        <w:jc w:val="left"/>
        <w:rPr>
          <w:rFonts w:ascii="Arial" w:hAnsi="Arial" w:cs="Arial"/>
          <w:bCs/>
          <w:sz w:val="24"/>
          <w:szCs w:val="24"/>
        </w:rPr>
        <w:sectPr>
          <w:pgSz w:w="16838" w:h="11906" w:orient="landscape"/>
          <w:pgMar w:top="567" w:right="1134" w:bottom="567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19" w:charSpace="0"/>
        </w:sect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eastAsia="等线" w:cs="Arial"/>
          <w:b/>
          <w:bCs w:val="0"/>
          <w:sz w:val="20"/>
          <w:szCs w:val="20"/>
        </w:rPr>
        <w:t xml:space="preserve">Table S2. </w:t>
      </w:r>
      <w:r>
        <w:rPr>
          <w:rFonts w:hint="eastAsia" w:ascii="Arial" w:hAnsi="Arial" w:eastAsia="等线" w:cs="Arial"/>
          <w:b/>
          <w:bCs w:val="0"/>
          <w:sz w:val="20"/>
          <w:szCs w:val="20"/>
        </w:rPr>
        <w:t>Results of a bidirectional Mendelian randomization analysis of type 2 diabetes</w:t>
      </w:r>
      <w:r>
        <w:rPr>
          <w:rFonts w:hint="eastAsia" w:ascii="Arial" w:hAnsi="Arial" w:eastAsia="等线" w:cs="Arial"/>
          <w:b/>
          <w:bCs w:val="0"/>
          <w:sz w:val="20"/>
          <w:szCs w:val="20"/>
          <w:lang w:val="en-US" w:eastAsia="zh-CN"/>
        </w:rPr>
        <w:t xml:space="preserve"> (P&lt;5×10</w:t>
      </w:r>
      <w:r>
        <w:rPr>
          <w:rFonts w:hint="eastAsia" w:ascii="Arial" w:hAnsi="Arial" w:eastAsia="等线" w:cs="Arial"/>
          <w:b/>
          <w:bCs w:val="0"/>
          <w:sz w:val="20"/>
          <w:szCs w:val="20"/>
          <w:vertAlign w:val="superscript"/>
          <w:lang w:val="en-US" w:eastAsia="zh-CN"/>
        </w:rPr>
        <w:t>-8</w:t>
      </w:r>
      <w:r>
        <w:rPr>
          <w:rFonts w:hint="eastAsia" w:ascii="Arial" w:hAnsi="Arial" w:eastAsia="等线" w:cs="Arial"/>
          <w:b/>
          <w:bCs w:val="0"/>
          <w:sz w:val="20"/>
          <w:szCs w:val="20"/>
          <w:lang w:val="en-US" w:eastAsia="zh-CN"/>
        </w:rPr>
        <w:t>)</w:t>
      </w:r>
      <w:r>
        <w:rPr>
          <w:rFonts w:hint="eastAsia" w:ascii="Arial" w:hAnsi="Arial" w:eastAsia="等线" w:cs="Arial"/>
          <w:b/>
          <w:bCs w:val="0"/>
          <w:sz w:val="20"/>
          <w:szCs w:val="20"/>
        </w:rPr>
        <w:t xml:space="preserve"> and coronary artery disease</w:t>
      </w:r>
      <w:r>
        <w:rPr>
          <w:rFonts w:hint="eastAsia" w:ascii="Arial" w:hAnsi="Arial" w:eastAsia="等线" w:cs="Arial"/>
          <w:b/>
          <w:bCs w:val="0"/>
          <w:sz w:val="20"/>
          <w:szCs w:val="20"/>
          <w:lang w:val="en-US" w:eastAsia="zh-CN"/>
        </w:rPr>
        <w:t xml:space="preserve"> (P&lt;5×10</w:t>
      </w:r>
      <w:r>
        <w:rPr>
          <w:rFonts w:hint="eastAsia" w:ascii="Arial" w:hAnsi="Arial" w:eastAsia="等线" w:cs="Arial"/>
          <w:b/>
          <w:bCs w:val="0"/>
          <w:sz w:val="20"/>
          <w:szCs w:val="20"/>
          <w:vertAlign w:val="superscript"/>
          <w:lang w:val="en-US" w:eastAsia="zh-CN"/>
        </w:rPr>
        <w:t>-8</w:t>
      </w:r>
      <w:r>
        <w:rPr>
          <w:rFonts w:hint="eastAsia" w:ascii="Arial" w:hAnsi="Arial" w:eastAsia="等线" w:cs="Arial"/>
          <w:b/>
          <w:bCs w:val="0"/>
          <w:sz w:val="20"/>
          <w:szCs w:val="20"/>
          <w:lang w:val="en-US" w:eastAsia="zh-CN"/>
        </w:rPr>
        <w:t>).</w:t>
      </w:r>
    </w:p>
    <w:tbl>
      <w:tblPr>
        <w:tblStyle w:val="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46"/>
        <w:gridCol w:w="910"/>
        <w:gridCol w:w="892"/>
        <w:gridCol w:w="661"/>
        <w:gridCol w:w="1223"/>
        <w:gridCol w:w="878"/>
        <w:gridCol w:w="1143"/>
        <w:gridCol w:w="1302"/>
        <w:gridCol w:w="1212"/>
        <w:gridCol w:w="955"/>
        <w:gridCol w:w="86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0" w:type="auto"/>
            <w:vMerge w:val="restart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E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xposure</w:t>
            </w:r>
          </w:p>
        </w:tc>
        <w:tc>
          <w:tcPr>
            <w:tcW w:w="0" w:type="auto"/>
            <w:vMerge w:val="restart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O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utcome</w:t>
            </w:r>
          </w:p>
        </w:tc>
        <w:tc>
          <w:tcPr>
            <w:tcW w:w="0" w:type="auto"/>
            <w:vMerge w:val="restart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M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ethod</w:t>
            </w:r>
          </w:p>
        </w:tc>
        <w:tc>
          <w:tcPr>
            <w:tcW w:w="0" w:type="auto"/>
            <w:vMerge w:val="restart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NSNP</w:t>
            </w:r>
          </w:p>
        </w:tc>
        <w:tc>
          <w:tcPr>
            <w:tcW w:w="1227" w:type="dxa"/>
            <w:vMerge w:val="restart"/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Beta</w:t>
            </w:r>
          </w:p>
        </w:tc>
        <w:tc>
          <w:tcPr>
            <w:tcW w:w="922" w:type="dxa"/>
            <w:vMerge w:val="restart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P</w:t>
            </w:r>
          </w:p>
        </w:tc>
        <w:tc>
          <w:tcPr>
            <w:tcW w:w="3111" w:type="dxa"/>
            <w:gridSpan w:val="2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Directional pleiotropy</w:t>
            </w:r>
          </w:p>
        </w:tc>
        <w:tc>
          <w:tcPr>
            <w:tcW w:w="631" w:type="dxa"/>
            <w:vMerge w:val="restart"/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Cochran</w:t>
            </w: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e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’</w:t>
            </w: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s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Q-statistic</w:t>
            </w: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(P)</w:t>
            </w:r>
          </w:p>
        </w:tc>
        <w:tc>
          <w:tcPr>
            <w:tcW w:w="822" w:type="dxa"/>
            <w:vMerge w:val="restart"/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Steiger P</w:t>
            </w:r>
          </w:p>
        </w:tc>
        <w:tc>
          <w:tcPr>
            <w:tcW w:w="0" w:type="auto"/>
            <w:vMerge w:val="restart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IVW MRE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0" w:type="auto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227" w:type="dxa"/>
            <w:vMerge w:val="continue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922" w:type="dxa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276" w:type="dxa"/>
            <w:tcBorders>
              <w:top w:val="single" w:color="auto" w:sz="4" w:space="0"/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E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gger intercept</w:t>
            </w: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(P)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MRPRESSO RSSobs(P)</w:t>
            </w:r>
          </w:p>
        </w:tc>
        <w:tc>
          <w:tcPr>
            <w:tcW w:w="631" w:type="dxa"/>
            <w:vMerge w:val="continue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</w:p>
        </w:tc>
        <w:tc>
          <w:tcPr>
            <w:tcW w:w="822" w:type="dxa"/>
            <w:vMerge w:val="continue"/>
            <w:tcBorders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D9D9D9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1" w:hRule="atLeast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T2D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29</w:t>
            </w:r>
          </w:p>
        </w:tc>
        <w:tc>
          <w:tcPr>
            <w:tcW w:w="1227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-0.005</w:t>
            </w: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(-0.219,0.210)</w:t>
            </w: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</w:t>
            </w:r>
          </w:p>
        </w:tc>
        <w:tc>
          <w:tcPr>
            <w:tcW w:w="922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9.67E-01</w:t>
            </w:r>
          </w:p>
        </w:tc>
        <w:tc>
          <w:tcPr>
            <w:tcW w:w="1276" w:type="dxa"/>
            <w:vMerge w:val="restart"/>
            <w:tcBorders>
              <w:top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0.007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(0.495)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148.952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(&lt;0.001)</w:t>
            </w: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131.446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(2.44E-15)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6.17E-152</w:t>
            </w: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</w:t>
            </w: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29</w:t>
            </w:r>
          </w:p>
        </w:tc>
        <w:tc>
          <w:tcPr>
            <w:tcW w:w="1227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0.062  </w:t>
            </w: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(-0.011,0.135)</w:t>
            </w:r>
          </w:p>
        </w:tc>
        <w:tc>
          <w:tcPr>
            <w:tcW w:w="922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9.67E-02</w:t>
            </w:r>
          </w:p>
        </w:tc>
        <w:tc>
          <w:tcPr>
            <w:tcW w:w="1276" w:type="dxa"/>
            <w:vMerge w:val="continue"/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29</w:t>
            </w:r>
          </w:p>
        </w:tc>
        <w:tc>
          <w:tcPr>
            <w:tcW w:w="1227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</w:t>
            </w: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66</w:t>
            </w: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(-0.014,0.145)</w:t>
            </w:r>
          </w:p>
        </w:tc>
        <w:tc>
          <w:tcPr>
            <w:tcW w:w="922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1.04E-01</w:t>
            </w: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bottom w:val="nil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bottom w:val="nil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bottom w:val="nil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T2D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134</w:t>
            </w:r>
          </w:p>
        </w:tc>
        <w:tc>
          <w:tcPr>
            <w:tcW w:w="1227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0.074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(-0.015,0.163)</w:t>
            </w:r>
          </w:p>
        </w:tc>
        <w:tc>
          <w:tcPr>
            <w:tcW w:w="922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1.07E-01</w:t>
            </w:r>
          </w:p>
        </w:tc>
        <w:tc>
          <w:tcPr>
            <w:tcW w:w="1276" w:type="dxa"/>
            <w:vMerge w:val="restart"/>
            <w:tcBorders>
              <w:top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0.006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(0.058)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308.837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(&lt;0.001)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303.207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(2.59E-15)</w:t>
            </w: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</w:t>
            </w: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</w:t>
            </w: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51</w:t>
            </w: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E-</w:t>
            </w: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134</w:t>
            </w:r>
          </w:p>
        </w:tc>
        <w:tc>
          <w:tcPr>
            <w:tcW w:w="1227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0.110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(0.057,0.163)</w:t>
            </w:r>
          </w:p>
        </w:tc>
        <w:tc>
          <w:tcPr>
            <w:tcW w:w="922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4.50E-05</w:t>
            </w:r>
          </w:p>
        </w:tc>
        <w:tc>
          <w:tcPr>
            <w:tcW w:w="1276" w:type="dxa"/>
            <w:vMerge w:val="continue"/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134</w:t>
            </w:r>
          </w:p>
        </w:tc>
        <w:tc>
          <w:tcPr>
            <w:tcW w:w="1227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0.152</w:t>
            </w:r>
          </w:p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</w:pPr>
            <w:r>
              <w:rPr>
                <w:rFonts w:hint="eastAsia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  <w:lang w:val="en-US" w:eastAsia="zh-CN"/>
              </w:rPr>
              <w:t>(0.113,0.191)</w:t>
            </w:r>
          </w:p>
        </w:tc>
        <w:tc>
          <w:tcPr>
            <w:tcW w:w="922" w:type="dxa"/>
            <w:tcBorders>
              <w:top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3.51E-14</w:t>
            </w:r>
          </w:p>
        </w:tc>
        <w:tc>
          <w:tcPr>
            <w:tcW w:w="1276" w:type="dxa"/>
            <w:vMerge w:val="continue"/>
            <w:tcBorders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bottom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vMerge w:val="continue"/>
            <w:tcBorders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10988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微软雅黑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宋体" w:cs="Arial"/>
                <w:color w:val="000000"/>
                <w:kern w:val="0"/>
                <w:sz w:val="20"/>
                <w:szCs w:val="20"/>
                <w:lang w:val="en-US" w:eastAsia="zh-CN"/>
              </w:rPr>
              <w:t>T2D</w:t>
            </w:r>
            <w:r>
              <w:rPr>
                <w:rFonts w:ascii="Arial" w:hAnsi="Arial" w:cs="Arial" w:eastAsiaTheme="minorHAnsi"/>
                <w:color w:val="000000"/>
                <w:kern w:val="0"/>
                <w:sz w:val="20"/>
                <w:szCs w:val="20"/>
              </w:rPr>
              <w:t xml:space="preserve">, </w:t>
            </w:r>
            <w:r>
              <w:rPr>
                <w:rFonts w:hint="default" w:ascii="Arial" w:hAnsi="Arial" w:eastAsia="Segoe UI" w:cs="Arial"/>
                <w:b w:val="0"/>
                <w:bCs w:val="0"/>
                <w:i w:val="0"/>
                <w:iCs w:val="0"/>
                <w:caps w:val="0"/>
                <w:color w:val="212529"/>
                <w:spacing w:val="0"/>
                <w:sz w:val="20"/>
                <w:szCs w:val="20"/>
              </w:rPr>
              <w:t>Type 2 diabetes</w:t>
            </w:r>
            <w:r>
              <w:rPr>
                <w:rFonts w:ascii="Arial" w:hAnsi="Arial" w:cs="Arial" w:eastAsiaTheme="minorHAnsi"/>
                <w:color w:val="000000"/>
                <w:kern w:val="0"/>
                <w:sz w:val="20"/>
                <w:szCs w:val="20"/>
              </w:rPr>
              <w:t>;</w:t>
            </w:r>
            <w:r>
              <w:rPr>
                <w:rFonts w:hint="eastAsia" w:ascii="Arial" w:hAnsi="Arial" w:eastAsia="宋体" w:cs="Arial"/>
                <w:color w:val="000000"/>
                <w:kern w:val="0"/>
                <w:sz w:val="20"/>
                <w:szCs w:val="20"/>
                <w:lang w:val="en-US" w:eastAsia="zh-CN"/>
              </w:rPr>
              <w:t xml:space="preserve"> CAD, Coronary artery disease;</w:t>
            </w:r>
            <w:r>
              <w:rPr>
                <w:rFonts w:ascii="Arial" w:hAnsi="Arial" w:cs="Arial" w:eastAsiaTheme="minorHAnsi"/>
                <w:color w:val="000000"/>
                <w:kern w:val="0"/>
                <w:sz w:val="20"/>
                <w:szCs w:val="20"/>
              </w:rPr>
              <w:t xml:space="preserve"> IVW, inverse variance weighted; NSNPs, number of single nucleotide polymorphisms; beta, mendelian randomization effect estimate; se, standard error of mendelian randomization effect estimate; </w:t>
            </w:r>
            <w:r>
              <w:rPr>
                <w:rFonts w:hint="default" w:ascii="Arial" w:hAnsi="Arial" w:eastAsia="微软雅黑" w:cs="Arial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OR</w:t>
            </w:r>
            <w:r>
              <w:rPr>
                <w:rFonts w:hint="eastAsia" w:ascii="Arial" w:hAnsi="Arial" w:eastAsia="微软雅黑" w:cs="Arial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(95%-CI), </w:t>
            </w:r>
            <w:r>
              <w:rPr>
                <w:rFonts w:ascii="Arial" w:hAnsi="Arial" w:cs="Arial" w:eastAsiaTheme="minorHAnsi"/>
                <w:color w:val="000000"/>
                <w:kern w:val="0"/>
                <w:sz w:val="20"/>
                <w:szCs w:val="20"/>
              </w:rPr>
              <w:t>odds ratio</w:t>
            </w:r>
            <w:r>
              <w:rPr>
                <w:rFonts w:hint="eastAsia" w:ascii="Arial" w:hAnsi="Arial" w:eastAsia="宋体" w:cs="Arial"/>
                <w:color w:val="000000"/>
                <w:kern w:val="0"/>
                <w:sz w:val="20"/>
                <w:szCs w:val="20"/>
                <w:lang w:val="en-US" w:eastAsia="zh-CN"/>
              </w:rPr>
              <w:t xml:space="preserve"> and </w:t>
            </w:r>
            <w:r>
              <w:rPr>
                <w:rFonts w:ascii="Arial" w:hAnsi="Arial" w:cs="Arial" w:eastAsiaTheme="minorHAnsi"/>
                <w:color w:val="000000"/>
                <w:kern w:val="0"/>
                <w:sz w:val="20"/>
                <w:szCs w:val="20"/>
              </w:rPr>
              <w:t>95% confidence interval of odds ratio estimate</w:t>
            </w:r>
            <w:r>
              <w:rPr>
                <w:rFonts w:hint="eastAsia" w:ascii="Arial" w:hAnsi="Arial" w:eastAsia="宋体" w:cs="Arial"/>
                <w:color w:val="000000"/>
                <w:kern w:val="0"/>
                <w:sz w:val="20"/>
                <w:szCs w:val="20"/>
                <w:lang w:val="en-US" w:eastAsia="zh-CN"/>
              </w:rPr>
              <w:t>; IVW MRE, Inverse variance weighted (multiplicative random effects)</w:t>
            </w:r>
          </w:p>
        </w:tc>
      </w:tr>
    </w:tbl>
    <w:p>
      <w:pPr>
        <w:widowControl/>
        <w:spacing w:line="480" w:lineRule="auto"/>
        <w:jc w:val="left"/>
        <w:rPr>
          <w:rFonts w:hint="eastAsia" w:ascii="Arial" w:hAnsi="Arial" w:cs="Arial" w:eastAsiaTheme="minorEastAsia"/>
          <w:bCs/>
          <w:sz w:val="24"/>
          <w:szCs w:val="24"/>
          <w:lang w:eastAsia="zh-CN"/>
        </w:rPr>
      </w:pPr>
      <w:r>
        <w:rPr>
          <w:rFonts w:hint="eastAsia" w:ascii="Arial" w:hAnsi="Arial" w:cs="Arial" w:eastAsiaTheme="minorEastAsia"/>
          <w:bCs/>
          <w:sz w:val="24"/>
          <w:szCs w:val="24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-114935</wp:posOffset>
            </wp:positionH>
            <wp:positionV relativeFrom="paragraph">
              <wp:posOffset>298450</wp:posOffset>
            </wp:positionV>
            <wp:extent cx="7047230" cy="5007610"/>
            <wp:effectExtent l="0" t="0" r="1270" b="0"/>
            <wp:wrapNone/>
            <wp:docPr id="4" name="图片 4" descr="T2D-C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T2D-CAD"/>
                    <pic:cNvPicPr>
                      <a:picLocks noChangeAspect="1"/>
                    </pic:cNvPicPr>
                  </pic:nvPicPr>
                  <pic:blipFill>
                    <a:blip r:embed="rId4"/>
                    <a:srcRect r="30010" b="-1556"/>
                    <a:stretch>
                      <a:fillRect/>
                    </a:stretch>
                  </pic:blipFill>
                  <pic:spPr>
                    <a:xfrm>
                      <a:off x="0" y="0"/>
                      <a:ext cx="7047230" cy="5007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spacing w:line="480" w:lineRule="auto"/>
        <w:jc w:val="left"/>
        <w:rPr>
          <w:rFonts w:hint="eastAsia" w:ascii="Arial" w:hAnsi="Arial" w:cs="Arial" w:eastAsiaTheme="minorEastAsia"/>
          <w:bCs/>
          <w:sz w:val="24"/>
          <w:szCs w:val="24"/>
          <w:lang w:eastAsia="zh-CN"/>
        </w:rPr>
        <w:sectPr>
          <w:pgSz w:w="11906" w:h="16838"/>
          <w:pgMar w:top="567" w:right="567" w:bottom="567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19" w:charSpace="0"/>
        </w:sectPr>
      </w:pPr>
    </w:p>
    <w:p>
      <w:pPr>
        <w:widowControl/>
        <w:spacing w:line="48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eastAsia="等线" w:cs="Arial"/>
          <w:b/>
          <w:bCs w:val="0"/>
          <w:sz w:val="20"/>
          <w:szCs w:val="20"/>
        </w:rPr>
        <w:t>Table S</w:t>
      </w:r>
      <w:r>
        <w:rPr>
          <w:rFonts w:hint="eastAsia" w:ascii="Arial" w:hAnsi="Arial" w:eastAsia="等线" w:cs="Arial"/>
          <w:b/>
          <w:bCs w:val="0"/>
          <w:sz w:val="20"/>
          <w:szCs w:val="20"/>
          <w:lang w:val="en-US" w:eastAsia="zh-CN"/>
        </w:rPr>
        <w:t>3</w:t>
      </w:r>
      <w:r>
        <w:rPr>
          <w:rFonts w:ascii="Arial" w:hAnsi="Arial" w:eastAsia="等线" w:cs="Arial"/>
          <w:b/>
          <w:bCs w:val="0"/>
          <w:sz w:val="20"/>
          <w:szCs w:val="20"/>
        </w:rPr>
        <w:t xml:space="preserve">. MR Results of metabolites on </w:t>
      </w:r>
      <w:r>
        <w:rPr>
          <w:rFonts w:hint="eastAsia" w:ascii="Arial" w:hAnsi="Arial" w:eastAsia="等线" w:cs="Arial"/>
          <w:b/>
          <w:bCs w:val="0"/>
          <w:sz w:val="20"/>
          <w:szCs w:val="20"/>
          <w:lang w:val="en-US" w:eastAsia="zh-CN"/>
        </w:rPr>
        <w:t>T2D</w:t>
      </w:r>
      <w:r>
        <w:rPr>
          <w:rFonts w:ascii="Arial" w:hAnsi="Arial" w:eastAsia="等线" w:cs="Arial"/>
          <w:b/>
          <w:bCs w:val="0"/>
          <w:sz w:val="20"/>
          <w:szCs w:val="20"/>
        </w:rPr>
        <w:t>.</w:t>
      </w:r>
    </w:p>
    <w:tbl>
      <w:tblPr>
        <w:tblStyle w:val="5"/>
        <w:tblW w:w="15581" w:type="dxa"/>
        <w:tblInd w:w="1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9"/>
        <w:gridCol w:w="1787"/>
        <w:gridCol w:w="1793"/>
        <w:gridCol w:w="772"/>
        <w:gridCol w:w="2423"/>
        <w:gridCol w:w="841"/>
        <w:gridCol w:w="1596"/>
        <w:gridCol w:w="1691"/>
        <w:gridCol w:w="1542"/>
        <w:gridCol w:w="141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Exposure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Outcome</w:t>
            </w:r>
          </w:p>
        </w:tc>
        <w:tc>
          <w:tcPr>
            <w:tcW w:w="179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Method</w:t>
            </w:r>
          </w:p>
        </w:tc>
        <w:tc>
          <w:tcPr>
            <w:tcW w:w="77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NSNP</w:t>
            </w:r>
          </w:p>
        </w:tc>
        <w:tc>
          <w:tcPr>
            <w:tcW w:w="242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Beta (95%CI)</w:t>
            </w:r>
          </w:p>
        </w:tc>
        <w:tc>
          <w:tcPr>
            <w:tcW w:w="84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</w:t>
            </w:r>
          </w:p>
        </w:tc>
        <w:tc>
          <w:tcPr>
            <w:tcW w:w="328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Directional pleiotropy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Cochran</w:t>
            </w: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’</w:t>
            </w: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Q-statistic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(P)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teiger </w:t>
            </w: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42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4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Egger intercept(P)</w:t>
            </w:r>
          </w:p>
        </w:tc>
        <w:tc>
          <w:tcPr>
            <w:tcW w:w="16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MRPRESSO RSSobs(P)</w:t>
            </w: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SM 14_0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-0.006(-0.041,0.029)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0.735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-0.007(0.152)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73.772(0.37)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71.865(0.32)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-0.03(-0.044,-0.016)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-0.031(-0.041,-0.02)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salicylurate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-0.022(-0.056,0.011)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0.197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0(0.925)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49.032(0.78)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47.374(0.758)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-0.021(-0.038,-0.005)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0.012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-0.024(-0.035,-0.013)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proline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-0.067(-0.139,0.006)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0.084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0.012(0.364)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29.089(0.276)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27.085(0.252)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8.21E-216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-0.051(-0.072,-0.031)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-0.034(-0.05,-0.017)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LPC 18_2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-0.1(-0.189,-0.011)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0.034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0.014(0.153)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56.839(0.074)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54.044(0.068)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1.60E-228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-0.059(-0.082,-0.037)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-0.035(-0.052,-0.018)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citrulline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-0.143(-0.213,-0.072)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0.002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0.036(0.024)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18.286(0.327)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15.727(0.264)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2.19E-67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-0.072(-0.112,-0.033)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-0.057(-0.087,-0.027)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glycerol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-0.022(-0.065,0.022)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0.343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-0.001(0.882)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24.241(0.976)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22.807(0.968)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1.03E-255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-0.022(-0.042,-0.003)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0.022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-0.025(-0.039,-0.011)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ornithine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-0.048(-0.091,-0.005)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0.031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0.007(0.186)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63.115(0.823)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61.124(0.792)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-0.025(-0.042,-0.009)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0.002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-0.02(-0.031,-0.009)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0.001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taurocholate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0.049(0.019,0.078)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0.002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-0.017(0.022)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33.341(0.996)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31.997(0.997)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0.025(0.012,0.038)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0.015(0.006,0.025)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0.002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adenosine monophosphate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-0.034(-0.095,0.026)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0.280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0.001(0.84)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11.649(0.996)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9.267(0.995)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5.99E-139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-0.039(-0.062,-0.016)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0.001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-0.028(-0.046,-0.01)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0.002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cystathionine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-0.131(-0.209,-0.053)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0.004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0.028(0.017)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20.203(0.605)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18.002(0.587)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2.42E-98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-0.045(-0.073,-0.017)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0.001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-0.03(-0.049,-0.011)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0.002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serotonin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-0.192(-0.461,0.077)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0.174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0.033(0.258)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38.98(0.062)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35.716(0.058)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1.41E-117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-0.015(-0.044,0.014)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0.314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-0.034(-0.057,-0.01)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0.005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asparagine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-0.006(-0.056,0.045)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0.829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-0.003(0.654)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42.776(0.708)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34.805(0.864)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-0.016(-0.034,0.003)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0.094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-0.017(-0.03,-0.004)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0.013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adenosine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-0.162(-0.359,0.036)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0.159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0.025(0.266)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4.843(0.826)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3.708(0.813)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3.04E-34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-0.043(-0.085,0)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0.048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-0.04(-0.074,-0.007)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0.019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TAG 58_8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37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0.053(-0.039,0.146)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0.264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-0.015(0.123)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44.58(0.239)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42.146(0.222)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5.71E-241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37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-0.029(-0.051,-0.006)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0.012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37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-0.02(-0.036,-0.003)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0.019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PC 36_1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0.041(-0.18,0.262)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0.719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-0.003(0.868)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21.319(0.671)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16.577(0.736)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2.33E-145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0.014(-0.01,0.039)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0.252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0.022(0.003,0.041)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0.022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suberic acid</w:t>
            </w:r>
          </w:p>
        </w:tc>
        <w:tc>
          <w:tcPr>
            <w:tcW w:w="178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0.109(-0.455,0.672)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0.742 </w:t>
            </w:r>
          </w:p>
        </w:tc>
        <w:tc>
          <w:tcPr>
            <w:tcW w:w="15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-0.018(0.848)</w:t>
            </w:r>
          </w:p>
        </w:tc>
        <w:tc>
          <w:tcPr>
            <w:tcW w:w="169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1.096(0.902)</w:t>
            </w:r>
          </w:p>
        </w:tc>
        <w:tc>
          <w:tcPr>
            <w:tcW w:w="15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0.465(0.927)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4.80E-18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0.04(-0.009,0.089)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0.113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71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8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7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242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0.046(0.006,0.086)</w:t>
            </w:r>
          </w:p>
        </w:tc>
        <w:tc>
          <w:tcPr>
            <w:tcW w:w="8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0.023 </w:t>
            </w:r>
          </w:p>
        </w:tc>
        <w:tc>
          <w:tcPr>
            <w:tcW w:w="15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9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581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 xml:space="preserve">MR, mendelian randomization; </w:t>
            </w:r>
            <w:r>
              <w:rPr>
                <w:rFonts w:hint="eastAsia" w:ascii="Arial" w:hAnsi="Arial" w:eastAsia="宋体" w:cs="Arial"/>
                <w:color w:val="000000"/>
                <w:kern w:val="0"/>
                <w:sz w:val="20"/>
                <w:szCs w:val="20"/>
                <w:lang w:val="en-US" w:eastAsia="zh-CN"/>
              </w:rPr>
              <w:t>T2D</w:t>
            </w:r>
            <w:r>
              <w:rPr>
                <w:rFonts w:ascii="Arial" w:hAnsi="Arial" w:cs="Arial" w:eastAsiaTheme="minorHAnsi"/>
                <w:color w:val="000000"/>
                <w:kern w:val="0"/>
                <w:sz w:val="20"/>
                <w:szCs w:val="20"/>
              </w:rPr>
              <w:t xml:space="preserve">, </w:t>
            </w:r>
            <w:r>
              <w:rPr>
                <w:rFonts w:hint="default" w:ascii="Arial" w:hAnsi="Arial" w:eastAsia="Segoe UI" w:cs="Arial"/>
                <w:b w:val="0"/>
                <w:bCs w:val="0"/>
                <w:i w:val="0"/>
                <w:iCs w:val="0"/>
                <w:caps w:val="0"/>
                <w:color w:val="212529"/>
                <w:spacing w:val="0"/>
                <w:sz w:val="20"/>
                <w:szCs w:val="20"/>
              </w:rPr>
              <w:t>Type 2 diabetes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 xml:space="preserve">; IVW, inverse variance weighted; NSNPs, number of single nucleotide polymorphisms; </w:t>
            </w:r>
            <w:r>
              <w:rPr>
                <w:rFonts w:ascii="Arial" w:hAnsi="Arial" w:cs="Arial" w:eastAsiaTheme="minorHAnsi"/>
                <w:color w:val="000000"/>
                <w:kern w:val="0"/>
                <w:sz w:val="20"/>
                <w:szCs w:val="20"/>
              </w:rPr>
              <w:t>beta, mendelian randomization effect estimate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; CI, confidence interval; RSSobs, residual sums of squares of observations; SM, sphingomyelin</w:t>
            </w: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 xml:space="preserve">; LPC </w:t>
            </w:r>
            <w:r>
              <w:rPr>
                <w:rFonts w:hint="default" w:ascii="Arial" w:hAnsi="Arial" w:eastAsia="AdvPSA183" w:cs="Arial"/>
                <w:color w:val="000000"/>
                <w:kern w:val="0"/>
                <w:sz w:val="20"/>
                <w:szCs w:val="20"/>
                <w:lang w:val="en-US" w:eastAsia="zh-CN" w:bidi="ar"/>
              </w:rPr>
              <w:t>lysophosphatidylcholine</w:t>
            </w:r>
            <w:r>
              <w:rPr>
                <w:rFonts w:hint="eastAsia" w:ascii="Arial" w:hAnsi="Arial" w:eastAsia="AdvPSA183" w:cs="Arial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; 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TAG, triacylglycerol; PC, phosphatidylcholine.</w:t>
            </w:r>
          </w:p>
        </w:tc>
      </w:tr>
    </w:tbl>
    <w:p>
      <w:pPr>
        <w:widowControl/>
        <w:spacing w:line="480" w:lineRule="auto"/>
        <w:jc w:val="left"/>
        <w:rPr>
          <w:rFonts w:ascii="Arial" w:hAnsi="Arial" w:cs="Arial"/>
          <w:bCs/>
          <w:sz w:val="24"/>
          <w:szCs w:val="24"/>
        </w:rPr>
      </w:pPr>
    </w:p>
    <w:p>
      <w:pPr>
        <w:widowControl/>
        <w:spacing w:line="480" w:lineRule="auto"/>
        <w:jc w:val="left"/>
        <w:rPr>
          <w:rFonts w:ascii="Arial" w:hAnsi="Arial" w:cs="Arial"/>
          <w:bCs/>
          <w:sz w:val="24"/>
          <w:szCs w:val="24"/>
        </w:rPr>
      </w:pPr>
    </w:p>
    <w:p>
      <w:pPr>
        <w:widowControl/>
        <w:spacing w:line="480" w:lineRule="auto"/>
        <w:jc w:val="left"/>
        <w:rPr>
          <w:rFonts w:ascii="Arial" w:hAnsi="Arial" w:cs="Arial"/>
          <w:bCs/>
          <w:sz w:val="24"/>
          <w:szCs w:val="24"/>
        </w:rPr>
      </w:pPr>
    </w:p>
    <w:p>
      <w:pPr>
        <w:widowControl/>
        <w:spacing w:line="480" w:lineRule="auto"/>
        <w:jc w:val="left"/>
        <w:rPr>
          <w:rFonts w:ascii="Arial" w:hAnsi="Arial" w:cs="Arial"/>
          <w:bCs/>
          <w:sz w:val="24"/>
          <w:szCs w:val="24"/>
        </w:rPr>
      </w:pPr>
    </w:p>
    <w:p>
      <w:pPr>
        <w:widowControl/>
        <w:spacing w:line="480" w:lineRule="auto"/>
        <w:jc w:val="left"/>
        <w:rPr>
          <w:rFonts w:ascii="Arial" w:hAnsi="Arial" w:cs="Arial"/>
          <w:bCs/>
          <w:sz w:val="24"/>
          <w:szCs w:val="24"/>
        </w:rPr>
      </w:pPr>
    </w:p>
    <w:p>
      <w:pPr>
        <w:rPr>
          <w:rFonts w:ascii="Arial" w:hAnsi="Arial" w:eastAsia="等线" w:cs="Arial"/>
          <w:b/>
          <w:bCs/>
          <w:sz w:val="20"/>
          <w:szCs w:val="20"/>
        </w:rPr>
      </w:pPr>
    </w:p>
    <w:p>
      <w:pPr>
        <w:rPr>
          <w:rFonts w:ascii="Arial" w:hAnsi="Arial" w:eastAsia="等线" w:cs="Arial"/>
          <w:b/>
          <w:bCs/>
          <w:sz w:val="20"/>
          <w:szCs w:val="20"/>
        </w:rPr>
      </w:pPr>
      <w:r>
        <w:rPr>
          <w:rFonts w:ascii="Arial" w:hAnsi="Arial" w:eastAsia="等线" w:cs="Arial"/>
          <w:b/>
          <w:bCs/>
          <w:sz w:val="20"/>
          <w:szCs w:val="20"/>
        </w:rPr>
        <w:t>Table S</w:t>
      </w:r>
      <w:r>
        <w:rPr>
          <w:rFonts w:hint="eastAsia" w:ascii="Arial" w:hAnsi="Arial" w:eastAsia="等线" w:cs="Arial"/>
          <w:b/>
          <w:bCs/>
          <w:sz w:val="20"/>
          <w:szCs w:val="20"/>
          <w:lang w:val="en-US" w:eastAsia="zh-CN"/>
        </w:rPr>
        <w:t>4</w:t>
      </w:r>
      <w:r>
        <w:rPr>
          <w:rFonts w:ascii="Arial" w:hAnsi="Arial" w:eastAsia="等线" w:cs="Arial"/>
          <w:b/>
          <w:bCs/>
          <w:sz w:val="20"/>
          <w:szCs w:val="20"/>
        </w:rPr>
        <w:t xml:space="preserve">. MR Results of metabolites on </w:t>
      </w:r>
      <w:r>
        <w:rPr>
          <w:rFonts w:hint="eastAsia" w:ascii="Arial" w:hAnsi="Arial" w:eastAsia="等线" w:cs="Arial"/>
          <w:b/>
          <w:bCs/>
          <w:sz w:val="20"/>
          <w:szCs w:val="20"/>
          <w:lang w:val="en-US" w:eastAsia="zh-CN"/>
        </w:rPr>
        <w:t>CAD</w:t>
      </w:r>
      <w:r>
        <w:rPr>
          <w:rFonts w:ascii="Arial" w:hAnsi="Arial" w:eastAsia="等线" w:cs="Arial"/>
          <w:b/>
          <w:bCs/>
          <w:sz w:val="20"/>
          <w:szCs w:val="20"/>
        </w:rPr>
        <w:t>.</w:t>
      </w:r>
    </w:p>
    <w:p>
      <w:pPr>
        <w:rPr>
          <w:rFonts w:ascii="Arial" w:hAnsi="Arial" w:eastAsia="等线" w:cs="Arial"/>
          <w:b/>
          <w:bCs/>
          <w:sz w:val="20"/>
          <w:szCs w:val="20"/>
        </w:rPr>
      </w:pPr>
    </w:p>
    <w:tbl>
      <w:tblPr>
        <w:tblStyle w:val="5"/>
        <w:tblW w:w="15705" w:type="dxa"/>
        <w:tblInd w:w="10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48"/>
        <w:gridCol w:w="1083"/>
        <w:gridCol w:w="1982"/>
        <w:gridCol w:w="772"/>
        <w:gridCol w:w="2423"/>
        <w:gridCol w:w="841"/>
        <w:gridCol w:w="1527"/>
        <w:gridCol w:w="1659"/>
        <w:gridCol w:w="1655"/>
        <w:gridCol w:w="14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7" w:hRule="atLeast"/>
        </w:trPr>
        <w:tc>
          <w:tcPr>
            <w:tcW w:w="2348" w:type="dxa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Exposure</w:t>
            </w:r>
          </w:p>
        </w:tc>
        <w:tc>
          <w:tcPr>
            <w:tcW w:w="1083" w:type="dxa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Outcome</w:t>
            </w:r>
          </w:p>
        </w:tc>
        <w:tc>
          <w:tcPr>
            <w:tcW w:w="1982" w:type="dxa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Method</w:t>
            </w:r>
          </w:p>
        </w:tc>
        <w:tc>
          <w:tcPr>
            <w:tcW w:w="772" w:type="dxa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NSNP</w:t>
            </w:r>
          </w:p>
        </w:tc>
        <w:tc>
          <w:tcPr>
            <w:tcW w:w="2423" w:type="dxa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Beta (95%CI)</w:t>
            </w:r>
          </w:p>
        </w:tc>
        <w:tc>
          <w:tcPr>
            <w:tcW w:w="841" w:type="dxa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</w:t>
            </w:r>
          </w:p>
        </w:tc>
        <w:tc>
          <w:tcPr>
            <w:tcW w:w="3186" w:type="dxa"/>
            <w:gridSpan w:val="2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Directional pleiotropy</w:t>
            </w:r>
          </w:p>
        </w:tc>
        <w:tc>
          <w:tcPr>
            <w:tcW w:w="1655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Cochran</w:t>
            </w: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’</w:t>
            </w:r>
            <w:r>
              <w:rPr>
                <w:rFonts w:hint="eastAsia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</w:t>
            </w:r>
            <w:r>
              <w:rPr>
                <w:rFonts w:hint="default" w:ascii="Arial" w:hAnsi="Arial" w:eastAsia="微软雅黑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Q-statistic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(P)</w:t>
            </w:r>
            <w:bookmarkStart w:id="1" w:name="_GoBack"/>
            <w:bookmarkEnd w:id="1"/>
          </w:p>
        </w:tc>
        <w:tc>
          <w:tcPr>
            <w:tcW w:w="1415" w:type="dxa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teiger </w:t>
            </w: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2348" w:type="dxa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83" w:type="dxa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982" w:type="dxa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772" w:type="dxa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423" w:type="dxa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41" w:type="dxa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527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Egger intercept(P)</w:t>
            </w:r>
          </w:p>
        </w:tc>
        <w:tc>
          <w:tcPr>
            <w:tcW w:w="1659" w:type="dxa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MRPRESSO RSSobs(P)</w:t>
            </w:r>
          </w:p>
        </w:tc>
        <w:tc>
          <w:tcPr>
            <w:tcW w:w="1655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415" w:type="dxa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3_hydroxyphenylacetic acid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-0.095(-0.206,0.016)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0.114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0.025(0.047)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19.849(0.477)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17.117(0.446)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1.82E-82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0.021(-0.015,0.056)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0.252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0.024(-0.001,0.049)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0.057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lysine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-0.083(-0.182,0.015)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0.129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0.009(0.524)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7.878(0.851)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6.756(0.818)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1.17E-51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-0.063(-0.097,-0.028)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-0.051(-0.078,-0.025)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alpha_ketoglutarate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-0.003(-0.047,0.04)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0.878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-0.007(0.248)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33.428(0.873)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31.813(0.848)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1.41E-249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-0.042(-0.064,-0.02)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-0.027(-0.043,-0.011)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0.001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LPC 18_2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0.085(0.01,0.16)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0.032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-0.013(0.138)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48.301(0.354)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46.235(0.34)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1.02E-248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0.016(-0.009,0.041)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0.218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0.029(0.011,0.047)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0.002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CE 18_2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0.035(-0.058,0.127)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0.476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0.002(0.869)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9.655(0.89)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8.478(0.863)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6.46E-70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0.049(0.012,0.087)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0.010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0.042(0.014,0.07)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0.003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guanosine diphosphate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-0.019(-0.091,0.052)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0.595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0(0.982)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32.725(0.964)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31.292(0.952)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-0.036(-0.055,-0.017)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-0.02(-0.034,-0.006)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0.004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proline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-0.008(-0.059,0.043)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0.760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-0.004(0.604)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39.739(0.476)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37.746(0.481)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-0.023(-0.044,-0.002)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0.031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-0.021(-0.036,-0.007)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0.004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carnitine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71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-0.064(-0.096,-0.033)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&lt;0.001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0.015(0.001)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56.262(0.927)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54.978(0.906)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NA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71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-0.016(-0.03,-0.003)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0.019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71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-0.014(-0.024,-0.004)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0.005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hypoxanthine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0.064(0.001,0.126)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0.061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-0.008(0.263)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9.564(0.988)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8.698(0.986)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4.43E-102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0.037(0.009,0.065)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0.009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0.029(0.008,0.05)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0.007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salicylurate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0.001(-0.016,0.018)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0.942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0.005(0.087)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36.548(0.992)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34.661(0.994)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0.005(-0.011,0.022)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0.533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0.013(0.003,0.023)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0.008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aspartate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0.034(-0.008,0.075)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0.130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-0.003(0.621)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8.855(0.973)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6.47(0.982)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5.29E-89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0.031(0.006,0.055)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0.015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0.024(0.006,0.043)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0.010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anthranilic acid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0.038(-0.005,0.081)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0.092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-0.004(0.409)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45.065(0.599)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42.363(0.584)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2.86E-289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0.01(-0.013,0.032)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0.403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0.021(0.005,0.037)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0.011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UDP glucose; UDP galactose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-0.025(-0.105,0.055)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0.544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0.002(0.854)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26.901(0.999)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25.866(0.997)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-0.021(-0.04,-0.002)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0.033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-0.018(-0.032,-0.003)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0.015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allantoin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-0.054(-0.1,-0.008)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0.028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0.012(0.126)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18.482(0.977)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17.4(0.976)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1.22E-185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-0.031(-0.053,-0.009)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0.006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-0.019(-0.035,-0.003)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0.017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quinolinic acid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-0.043(-0.074,-0.012)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0.009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0.008(0.048)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53.779(0.956)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51.442(0.961)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-0.026(-0.041,-0.01)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0.001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72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-0.013(-0.024,-0.002)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0.020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restart"/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asparagine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MR Egger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0.047(-0.003,0.098)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0.071 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-0.008(0.228)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20.766(1)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19.63(1)</w:t>
            </w:r>
          </w:p>
        </w:tc>
        <w:tc>
          <w:tcPr>
            <w:tcW w:w="0" w:type="auto"/>
            <w:vMerge w:val="restart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Weighted median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0.009(-0.011,0.03)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0.362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348" w:type="dxa"/>
            <w:vMerge w:val="continue"/>
            <w:shd w:val="clear" w:color="auto" w:fill="auto"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IVW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</w:t>
            </w:r>
          </w:p>
        </w:tc>
        <w:tc>
          <w:tcPr>
            <w:tcW w:w="2423" w:type="dxa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0.017(0.003,0.032)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0.021 </w:t>
            </w: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5705" w:type="dxa"/>
            <w:gridSpan w:val="10"/>
            <w:shd w:val="clear" w:color="auto" w:fill="auto"/>
            <w:vAlign w:val="center"/>
          </w:tcPr>
          <w:p>
            <w:pPr>
              <w:jc w:val="left"/>
              <w:rPr>
                <w:rFonts w:hint="eastAsia" w:ascii="Arial" w:hAnsi="Arial" w:eastAsia="等线" w:cs="Arial"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 xml:space="preserve">MR, mendelian randomization; </w:t>
            </w: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 xml:space="preserve">CAD, </w:t>
            </w:r>
            <w:r>
              <w:rPr>
                <w:rFonts w:hint="eastAsia" w:ascii="Arial" w:hAnsi="Arial" w:eastAsia="等线" w:cs="Arial"/>
                <w:b w:val="0"/>
                <w:bCs/>
                <w:sz w:val="20"/>
                <w:szCs w:val="20"/>
              </w:rPr>
              <w:t>coronary artery disease</w:t>
            </w:r>
            <w:r>
              <w:rPr>
                <w:rFonts w:hint="eastAsia" w:ascii="Arial" w:hAnsi="Arial" w:eastAsia="等线" w:cs="Arial"/>
                <w:b w:val="0"/>
                <w:bCs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 xml:space="preserve">; IVW, inverse variance weighted; NSNPs, number of single nucleotide polymorphisms; </w:t>
            </w:r>
            <w:r>
              <w:rPr>
                <w:rFonts w:ascii="Arial" w:hAnsi="Arial" w:cs="Arial" w:eastAsiaTheme="minorHAnsi"/>
                <w:color w:val="000000"/>
                <w:kern w:val="0"/>
                <w:sz w:val="20"/>
                <w:szCs w:val="20"/>
              </w:rPr>
              <w:t>beta, mendelian randomization effect estimate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; CI, confidence interval; RSSobs, residual sums of squares of observations;</w:t>
            </w: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 xml:space="preserve"> LPC </w:t>
            </w:r>
            <w:r>
              <w:rPr>
                <w:rFonts w:hint="default" w:ascii="Arial" w:hAnsi="Arial" w:eastAsia="AdvPSA183" w:cs="Arial"/>
                <w:color w:val="000000"/>
                <w:kern w:val="0"/>
                <w:sz w:val="20"/>
                <w:szCs w:val="20"/>
                <w:lang w:val="en-US" w:eastAsia="zh-CN" w:bidi="ar"/>
              </w:rPr>
              <w:t>lysophosphatidylcholine</w:t>
            </w:r>
            <w:r>
              <w:rPr>
                <w:rFonts w:hint="eastAsia" w:ascii="Arial" w:hAnsi="Arial" w:eastAsia="AdvPSA183" w:cs="Arial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; </w:t>
            </w:r>
            <w:r>
              <w:rPr>
                <w:rFonts w:ascii="Arial" w:hAnsi="Arial" w:eastAsia="等线" w:cs="Arial"/>
                <w:color w:val="000000"/>
                <w:kern w:val="0"/>
                <w:sz w:val="20"/>
                <w:szCs w:val="20"/>
              </w:rPr>
              <w:t>CE, cholesterol ester</w:t>
            </w:r>
            <w:r>
              <w:rPr>
                <w:rFonts w:hint="eastAsia" w:ascii="Arial" w:hAnsi="Arial" w:eastAsia="等线" w:cs="Arial"/>
                <w:color w:val="000000"/>
                <w:kern w:val="0"/>
                <w:sz w:val="20"/>
                <w:szCs w:val="20"/>
                <w:lang w:val="en-US" w:eastAsia="zh-CN"/>
              </w:rPr>
              <w:t>.</w:t>
            </w:r>
          </w:p>
        </w:tc>
      </w:tr>
    </w:tbl>
    <w:p>
      <w:pPr>
        <w:widowControl/>
        <w:spacing w:line="480" w:lineRule="auto"/>
        <w:jc w:val="left"/>
        <w:rPr>
          <w:rFonts w:ascii="Arial" w:hAnsi="Arial" w:cs="Arial"/>
          <w:bCs/>
          <w:sz w:val="24"/>
          <w:szCs w:val="24"/>
        </w:rPr>
      </w:pPr>
    </w:p>
    <w:p>
      <w:pPr>
        <w:widowControl/>
        <w:spacing w:line="480" w:lineRule="auto"/>
        <w:jc w:val="left"/>
        <w:rPr>
          <w:rFonts w:ascii="Arial" w:hAnsi="Arial" w:cs="Arial"/>
          <w:bCs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textAlignment w:val="center"/>
        <w:rPr>
          <w:rFonts w:hint="default" w:ascii="Arial" w:hAnsi="Arial" w:eastAsia="宋体" w:cs="Arial"/>
          <w:i w:val="0"/>
          <w:iCs w:val="0"/>
          <w:color w:val="000000"/>
          <w:kern w:val="0"/>
          <w:sz w:val="16"/>
          <w:szCs w:val="16"/>
          <w:u w:val="none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textAlignment w:val="center"/>
        <w:rPr>
          <w:rFonts w:hint="default" w:ascii="Arial" w:hAnsi="Arial" w:eastAsia="宋体" w:cs="Arial"/>
          <w:i w:val="0"/>
          <w:iCs w:val="0"/>
          <w:color w:val="000000"/>
          <w:kern w:val="0"/>
          <w:sz w:val="16"/>
          <w:szCs w:val="16"/>
          <w:u w:val="none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textAlignment w:val="center"/>
        <w:rPr>
          <w:rFonts w:hint="eastAsia" w:ascii="Arial" w:hAnsi="Arial" w:cs="Arial" w:eastAsiaTheme="minorEastAsia"/>
          <w:b/>
          <w:bCs/>
          <w:sz w:val="20"/>
          <w:szCs w:val="20"/>
          <w:lang w:val="en-US" w:eastAsia="zh-CN"/>
        </w:rPr>
      </w:pPr>
      <w:r>
        <w:rPr>
          <w:rFonts w:hint="default" w:ascii="Arial" w:hAnsi="Arial" w:cs="Arial"/>
          <w:b/>
          <w:bCs/>
          <w:sz w:val="20"/>
          <w:szCs w:val="20"/>
        </w:rPr>
        <w:t xml:space="preserve">Table </w:t>
      </w:r>
      <w:r>
        <w:rPr>
          <w:rFonts w:hint="eastAsia" w:ascii="Arial" w:hAnsi="Arial" w:cs="Arial"/>
          <w:b/>
          <w:bCs/>
          <w:sz w:val="20"/>
          <w:szCs w:val="20"/>
          <w:lang w:val="en-US" w:eastAsia="zh-CN"/>
        </w:rPr>
        <w:t>3</w:t>
      </w:r>
      <w:r>
        <w:rPr>
          <w:rFonts w:hint="default" w:ascii="Arial" w:hAnsi="Arial" w:cs="Arial"/>
          <w:b/>
          <w:bCs/>
          <w:sz w:val="20"/>
          <w:szCs w:val="20"/>
        </w:rPr>
        <w:t>.</w:t>
      </w:r>
      <w:r>
        <w:rPr>
          <w:rFonts w:hint="eastAsia" w:ascii="Arial" w:hAnsi="Arial" w:cs="Arial"/>
          <w:b/>
          <w:bCs/>
          <w:sz w:val="20"/>
          <w:szCs w:val="20"/>
          <w:lang w:val="en-US" w:eastAsia="zh-CN"/>
        </w:rPr>
        <w:t xml:space="preserve"> P</w:t>
      </w:r>
      <w:r>
        <w:rPr>
          <w:rFonts w:hint="default" w:ascii="Arial" w:hAnsi="Arial" w:cs="Arial"/>
          <w:b/>
          <w:bCs/>
          <w:sz w:val="20"/>
          <w:szCs w:val="20"/>
        </w:rPr>
        <w:t>articulars of SNPs used in MR analyses</w:t>
      </w:r>
      <w:r>
        <w:rPr>
          <w:rFonts w:hint="eastAsia" w:ascii="Arial" w:hAnsi="Arial" w:cs="Arial"/>
          <w:b/>
          <w:bCs/>
          <w:sz w:val="20"/>
          <w:szCs w:val="20"/>
          <w:lang w:val="en-US" w:eastAsia="zh-CN"/>
        </w:rPr>
        <w:t xml:space="preserve"> of gut </w:t>
      </w:r>
      <w:r>
        <w:rPr>
          <w:rFonts w:hint="default" w:ascii="Arial" w:hAnsi="Arial" w:cs="Arial"/>
          <w:b/>
          <w:bCs/>
          <w:sz w:val="20"/>
          <w:szCs w:val="20"/>
        </w:rPr>
        <w:t>microbiota</w:t>
      </w:r>
      <w:r>
        <w:rPr>
          <w:rFonts w:hint="eastAsia" w:ascii="Arial" w:hAnsi="Arial" w:cs="Arial"/>
          <w:b/>
          <w:bCs/>
          <w:sz w:val="20"/>
          <w:szCs w:val="20"/>
          <w:lang w:val="en-US" w:eastAsia="zh-CN"/>
        </w:rPr>
        <w:t>.</w:t>
      </w:r>
    </w:p>
    <w:tbl>
      <w:tblPr>
        <w:tblStyle w:val="5"/>
        <w:tblW w:w="14695" w:type="dxa"/>
        <w:tblInd w:w="1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9"/>
        <w:gridCol w:w="1426"/>
        <w:gridCol w:w="1070"/>
        <w:gridCol w:w="1044"/>
        <w:gridCol w:w="1313"/>
        <w:gridCol w:w="1203"/>
        <w:gridCol w:w="1070"/>
        <w:gridCol w:w="1423"/>
        <w:gridCol w:w="1006"/>
        <w:gridCol w:w="11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Exposure traits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SNP</w:t>
            </w: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s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EA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OA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B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eta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S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e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samplesize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P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E7E6E6" w:themeFill="background2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F</w:t>
            </w:r>
            <w:r>
              <w:rPr>
                <w:rFonts w:hint="eastAsia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statistic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Type 2 diabetes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(P&lt;5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-8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rs1127655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-0.0438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2.47E-08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30.739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rs12088739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-0.0884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9.79E-12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46.240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rs2493394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1.15E-10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41.734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rs348330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-0.0487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1.86E-09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36.148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rs2820426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0.0521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1.30E-12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50.937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rs2296173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7.66E-14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55.820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rs340874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0.0626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8.41E-18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73.536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rs7572970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1.39E-11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45.990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rs1009358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-0.0545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9.81E-12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46.410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rs2972144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0.0913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2.55E-34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148.190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rs243019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0.0566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2.29E-15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63.550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rs780094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0.0692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5.16E-21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87.448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rs10169613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-0.0429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3.57E-08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30.250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rs12617659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-0.0685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2.83E-11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44.229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rs17334919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-0.1398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6.69E-28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119.287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rs2867125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0.0601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4.33E-10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39.193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rs13389219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-0.0722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2.11E-22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95.194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rs7561798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2.79E-08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30.864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rs3887925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0.0474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2.47E-09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36.000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rs9844972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0.0956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1.03E-10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41.725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rs6808574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0.0552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4.39E-13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52.753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rs11708067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-0.0965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5.93E-29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125.909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rs9826367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-0.0439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2.77E-08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30.880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rs2292662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-0.0629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1.24E-08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32.111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rs6795735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-0.0558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1.63E-14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58.428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rs7651090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0.1204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3.85E-57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0.004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250.972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rs11926707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0.0463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1.69E-08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31.881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rs1899951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-0.1118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1.64E-24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105.204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rs11925227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2.25E-08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31.596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rs4472028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-0.0453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2.08E-10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40.708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rs1496653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-0.0769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2.57E-18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76.364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rs7674212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-0.0465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6.18E-10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38.440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rs993380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4.59E-10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39.178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rs11098676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2.03E-08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31.641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rs1801214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0.0903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5.52E-34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148.906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rs17086692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-0.0467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2.48E-08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30.908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rs7685296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-0.0511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2.32E-10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39.799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rs735949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-0.0711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1.95E-11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44.991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rs459193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0.0711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8.81E-18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73.381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rs3900856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0.1136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7.35E-10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37.706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rs6878122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-0.0564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1.19E-12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50.969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rs7729395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0.1373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1.10E-17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73.638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rs1061813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-0.0429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3.37E-09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34.536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rs4865796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1.33E-11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46.170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rs2307111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3.03E-08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30.250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rs10077431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-0.0487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4.75E-08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29.942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rs853974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-0.0601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7.86E-12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46.643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rs746868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0.0519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1.40E-10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41.055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rs9369425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-0.0546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1.13E-10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41.262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rs72892910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0.0648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6.43E-11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42.843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rs7756992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0.1297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6.00E-62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0.004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276.497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rs622217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-0.0485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3.13E-10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39.674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rs1063355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0.0709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3.72E-19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80.545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rs1265099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0.0452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9.95E-10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37.309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rs2071479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0.1473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6.62E-11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42.480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rs2246012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0.0527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2.43E-08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31.432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rs1050226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-0.0491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3.34E-11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44.025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rs17168486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0.0742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2.18E-15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62.309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rs2908282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0.0552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4.25E-09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34.484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rs2191348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0.0652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3.44E-19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79.772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rs7786095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-0.0743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9.64E-09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33.174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rs13239186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0.0539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2.70E-10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40.211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rs13234269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-0.0583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6.98E-14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55.866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rs2299383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0.0412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1.49E-08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31.853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rs849135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-0.0999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1.04E-43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0.003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192.516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rs10100265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-0.0491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6.29E-10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38.629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rs2294120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-0.0443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1.62E-08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31.445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rs7845219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-0.0422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4.54E-09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34.353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rs12681990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3.62E-11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43.615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rs10087241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-0.0475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2.80E-09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35.254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rs3802177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-0.1217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2.32E-52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0.004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231.420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rs516946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0.0824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3.16E-22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93.976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rs17411031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3.04E-08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30.864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rs10974438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0.0591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3.01E-15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62.094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rs17791483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3.42E-12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48.147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rs10811661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-0.1569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4.13E-58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0.004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256.327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rs2796441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-0.0715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1.96E-22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95.933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rs1758632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0.0491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1.36E-09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36.745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rs10114341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-0.0409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1.15E-08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32.269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rs1063192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3.30E-18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75.428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rs2633310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-0.0443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2.37E-08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31.445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rs4918796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0.0623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4.01E-13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52.478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rs7923866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-0.0972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9.34E-40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0.003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172.532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rs2421016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-0.0458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1.48E-10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41.612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rs753270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0.0528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2.70E-11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44.670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rs11257655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0.0737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1.97E-17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71.762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rs7903146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0.3059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1.00E-200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1578.256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rs11591741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-0.0475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1.23E-09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37.085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rs2616132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0.0455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6.58E-09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34.028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rs7929543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0.0828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2.20E-09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36.000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rs7931302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-0.0461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7.65E-09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33.206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rs67232546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0.0596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4.66E-10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38.543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rs10830963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0.0909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5.85E-30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129.106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rs1552224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8.64E-25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104.809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rs2237892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8.75E-10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37.389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rs5215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-0.0678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2.09E-20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86.261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rs10842994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-0.0755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1.02E-16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68.835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rs2261181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0.0985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9.18E-17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69.680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rs11107116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0.0467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3.75E-08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30.185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rs11048456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-0.0488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2.97E-09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35.417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rs940904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0.0499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2.08E-09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36.145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rs1480474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0.0411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1.68E-08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31.698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rs12299509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0.0467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2.09E-10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40.925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rs825476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0.0524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6.80E-13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51.525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rs7138300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-0.0443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5.65E-10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37.857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rs61953351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1.98E-14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59.172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rs963740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-0.0479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2.23E-08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31.022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rs576674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-0.0654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1.79E-11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45.458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rs1359790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-0.0796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2.80E-23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99.003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rs7144011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0.0482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1.64E-08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32.156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rs12910825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0.0517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2.16E-12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48.811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rs982077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-0.0453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2.58E-10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39.585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rs7177055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0.0647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2.75E-16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67.074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rs4502156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-0.0411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1.66E-08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31.698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rs244415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-0.0467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3.88E-09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34.945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rs7185735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0.1056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1.59E-47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0.003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209.258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rs77258096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-0.1171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1.78E-18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76.367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rs2925979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9.06E-12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46.870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rs9940149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9.29E-10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37.274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rs17631783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-0.0487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3.95E-08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29.942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rs17405722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0.087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2.28E-09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35.509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rs302864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2.46E-08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31.254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rs9911983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0.0397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4.82E-08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29.576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rs8068804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0.0587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4.41E-14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56.635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rs12945601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1.72E-09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36.000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rs9894220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-0.0585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1.52E-13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54.835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rs12970134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0.0555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5.31E-12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48.129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rs7240767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0.0451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2.16E-08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31.002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rs8108269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0.0644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3.11E-16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66.453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rs10401969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0.0921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4.13E-12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47.953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rs6515236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-0.0504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3.34E-08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30.675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rs6059662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0.0446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1.51E-08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31.872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rs6066138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1.93E-09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35.708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rs4810426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0.0726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2.15E-08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31.188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rs16988333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-0.0745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9.17E-09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32.842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rs4823182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0.0482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2"/>
                <w:sz w:val="16"/>
                <w:szCs w:val="16"/>
                <w:u w:val="none"/>
                <w:lang w:val="en-US" w:eastAsia="zh-CN" w:bidi="ar-SA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62892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3.36E-10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39.184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coronary artery disease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(P&lt;5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-8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rs67180937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0.078807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0.0110551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1.01E-12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50.816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rs6689306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-0.056012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0.0094061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2.60E-09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35.460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rs7528419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-0.11453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0.011482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1.97E-23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99.495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rs11206510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-0.074519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0.0133438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2.34E-08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31.187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rs9970807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-0.12575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0.016695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5.00E-14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56.734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rs7568458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0.059618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0.0095093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3.62E-10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39.306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rs115654617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0.137846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0.0158314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3.12E-18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75.814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rs17678683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0.098786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0.0166548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3.00E-09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35.181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rs16986953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0.08516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0.0150265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1.45E-08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32.119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rs515135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0.067499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0.0121924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3.09E-08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30.649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rs1199338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0.073596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0.0124987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3.90E-09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34.672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rs4593108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-0.07083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0.0115558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8.82E-10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37.569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rs17087335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0.060764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0.0111159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4.59E-08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29.882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rs72689147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-0.068558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0.0117905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6.07E-09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33.811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rs56336142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-0.066813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0.0118763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1.85E-08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31.649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rs12202017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-0.066813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0.0099612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1.98E-11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44.988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rs55730499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0.316641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0.0242403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5.39E-39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0.004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170.631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rs186696265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0.550351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0.0481949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3.35E-30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0.003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130.400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rs9349379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0.131836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0.0096527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1.81E-42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0.004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186.539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rs3918226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0.133315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0.0221275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1.69E-09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36.299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rs2107595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0.073415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0.0112951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8.05E-11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42.246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rs11556924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-0.072569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0.0110605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5.34E-11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43.048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rs2891168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0.193401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0.0091877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2.29E-98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443.102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rs2487928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0.062633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0.0095049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4.41E-11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43.422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rs1870634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0.075878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0.0097113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5.55E-15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61.049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rs11191416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-0.079249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0.0135252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4.65E-09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34.332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rs1412444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0.066812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0.0096809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5.15E-12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47.630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rs2128739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-0.065565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0.0100568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7.05E-11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42.503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rs10840293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0.054714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0.009619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1.28E-08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32.355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rs11065979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0.068556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0.0107672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1.93E-10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40.540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rs2681472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0.074114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0.0113331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6.17E-11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42.766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rs4773141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0.069732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0.0116482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2.14E-09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35.838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rs11617955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-0.088766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0.0161041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3.55E-08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30.382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rs11838776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0.068566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0.0107552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1.83E-10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40.643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rs10139550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0.05538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0.0097569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1.38E-08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32.217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rs4468572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0.077234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0.0095277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4.44E-16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65.711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rs56062135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-0.069743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0.0118937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4.52E-09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34.385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rs8042271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-0.096711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0.0175662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3.68E-08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30.311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rs7212798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0.079961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0.0142216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1.88E-08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31.613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rs663129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0.058163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0.0105173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3.20E-08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30.583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rs4420638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0.091906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0.0140977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7.07E-11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42.500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rs41290120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-0.181026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0.0281987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1.37E-10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41.212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rs56289821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-0.13361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0.0170415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4.44E-15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61.470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rs28451064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0.127571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0.015952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1.33E-15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63.955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rs180803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-0.180923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0.0283062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42457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1.64E-10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40.853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genus Lachnoclostridium id.11308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rs12566975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-0.0468097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0.0105787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9.57194E-06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19.580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rs1528479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0.0497799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0.0111919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9.63984E-06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19.783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rs615997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0.0511752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0.0106491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2.0268E-06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23.094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rs62285313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0.0864203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0.0181565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1.58332E-06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22.655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rs1031599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0.078627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0.0175644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6.31379E-06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20.039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rs3821998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-0.0864066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0.0192519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6.72048E-06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20.144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rs4738679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0.0520267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0.011404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4.41754E-06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rs1997204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0.108075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0.0242022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5.97077E-06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19.941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rs62028349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0.0469989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0.0105971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9.17044E-06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19.670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rs72829893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0.117472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0.0268103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5.57763E-06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19.198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rs78068103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0.0886199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0.0194248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3.66522E-06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rs2385421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0.0746186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0.0180734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7.13724E-06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17.046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rs789029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-0.0641288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0.0137974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3.75327E-06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21.603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rs6112314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-0.0561715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0.0108174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2.43215E-07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26.964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genus Streptococcus id.1853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rs11720390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0.107024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0.0228121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3.59484E-06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22.011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rs6806351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-0.0633829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0.0136647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4.93867E-06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21.515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rs57646748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-0.0907696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0.0200344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5.47545E-06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20.527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rs10028567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-0.0921167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0.0191881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7.30348E-06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23.047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rs395407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0.0792781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0.0173697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4.36506E-06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20.832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rs77558518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-0.103999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0.0229714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4.70858E-06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20.497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rs11764382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-0.0695345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0.0143671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1.28632E-06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23.424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rs17708276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-0.0793955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0.0170628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3.04096E-06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21.652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rs10448310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-0.0517935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0.0111324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3.30704E-06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21.646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rs71481756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0.0931048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0.0207949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6.51478E-06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20.046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rs7916711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0.102891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0.0217362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0.000002717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22.407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rs1918540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-0.059639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0.0128148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2.44068E-06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21.659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rs11110281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-0.137519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0.0227398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2.58315E-09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0.003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36.572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rs2370083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-0.0816836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0.0185851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9.75237E-06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19.317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rs72739637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0.0959942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0.0193213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1.03307E-06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24.684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rs6563952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-0.0827344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0.0180035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5.8213E-06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21.118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rs4968759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-0.0515109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0.0112068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3.7812E-06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21.127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rs9903102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-0.0709483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0.0155275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4.17994E-06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20.878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genus Actinomyces id.423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rs71315246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-0.0969809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0.021925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9.82969E-06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19.566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rs34583783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0.126596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0.0268461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4.48528E-06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22.237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rs4073240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0.0749687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0.0167368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7.94273E-06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20.064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rs35011108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0.232634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0.0512044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6.33826E-06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20.641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rs4146653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0.0985224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0.0214182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4.49645E-06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21.159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rs10787984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0.094316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0.0213513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9.62299E-06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19.513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rs7915461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-0.18776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0.0401636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5.91984E-06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21.855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rs2715439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-0.0746684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0.0164822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6.27004E-06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20.523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family Streptococcaceae id.1850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rs77968078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-0.0993013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0.0224788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7.93341E-06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19.515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rs76717940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0.150606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0.0334079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3.08937E-06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20.323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rs6806351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-0.0619209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0.0135744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6.93793E-06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20.808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rs10028567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-0.0934027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0.0190343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3.72495E-06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24.079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rs57646748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-0.088021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0.019876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7.88352E-06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19.612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rs395407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0.0826855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0.0172536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1.32559E-06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22.967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rs77558518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-0.104239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0.022806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3.72195E-06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20.891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rs957755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-0.0642449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0.0142702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7.41515E-06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20.268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rs2952251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0.0639298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0.0126525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3.72237E-07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25.530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rs28718126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0.109069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0.0246868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9.41044E-06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19.520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rs7916711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0.0959639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0.021545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6.32732E-06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19.839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rs16950051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0.107008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0.0236973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5.33814E-06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20.391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rs11110281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-0.130554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0.0225943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1.40136E-08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33.387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rs2370083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-0.0842751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0.0184509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4.25667E-06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20.862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rs72739637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0.0927983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0.0192021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1.82163E-06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23.355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rs6563952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-0.0801931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0.0178576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8.70583E-06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20.166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rs35344081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0.0609349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0.0129703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2.63846E-06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22.072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rs9903102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-0.0693015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0.0154096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4.91802E-06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20.226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rs4968759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-0.0544035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0.0111271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8.91887E-07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23.905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unknown genus id.2041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rs1032598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-0.0886426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0.0189039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4.07587E-06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21.988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rs16843660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0.234697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0.04907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1.75344E-06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22.876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rs11941716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0.101243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0.0224414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9.0663E-06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20.353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rs249459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0.0737341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0.0165018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8.12307E-06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19.965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rs553072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0.109193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0.0230198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3.69097E-06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22.500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rs1962916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-0.0737876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0.0162232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6.13847E-06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20.687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rs35703006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0.0926669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0.0190779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9.00762E-07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23.593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rs921383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0.0723153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0.0159706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7.72894E-06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20.503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rs2651663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-0.0762556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0.0168635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5.64144E-06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rs2336448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0.0773742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0.0160883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1.42899E-06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23.130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rs7187855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0.199941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0.0418308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2.20602E-06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22.846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rs6514318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0.128198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0.0281765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5.37675E-06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20.701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genus Oxalobacter id.2978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rs4428215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0.130293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0.0242237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7.51069E-08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28.931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rs36057338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0.207847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0.0421439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8.79812E-07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24.323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rs1569853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-0.138078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0.0296981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3.64502E-06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21.617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rs6993398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0.127217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0.0278855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7.12771E-06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rs10464997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0.137691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0.0294804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3.29754E-06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21.814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rs12002250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0.217122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0.0466317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1.41504E-06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21.679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rs736744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-0.117882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0.0211262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2.57472E-08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31.135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rs3862635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-0.172142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0.0394026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9.18692E-06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19.086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rs11108500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-0.199099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0.0427327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3.74283E-06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21.708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rs111966731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0.213114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0.047162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7.29861E-06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20.419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rs6071435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-0.105512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0.021489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1.07431E-06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24.109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rs6000536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-0.130992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0.0253804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2.06054E-07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26.637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genus Turicibacter id.2162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rs149744580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0.169883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0.0315478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7.00971E-08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28.998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rs4869133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0.131186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0.027197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2.5537E-06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23.267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rs2221441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0.0710364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0.015343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3.45669E-06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21.436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rs3734633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-0.120957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0.02683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5.31912E-06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20.325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rs55756211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-0.115115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0.0240708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2.8053E-06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22.871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rs2952020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0.0759019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0.0165764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5.63313E-06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20.966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rs61265175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-0.0858591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0.0185778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4.13676E-06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21.359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rs11054680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-0.104751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0.0226997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2.30978E-06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21.295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rs4247078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-0.0710377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0.0155221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5.46072E-06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20.945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rs11649454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0.0950891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0.0203433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3.26625E-06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21.848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rs7199484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-0.0731428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0.0160172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5.7666E-06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20.853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rs12603364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0.110861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0.0225598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8.66603E-07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24.148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rs11666533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-0.111689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0.0248436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7.37106E-06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20.211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rs2834977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-0.0959995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0.0208261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3.95585E-06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21.248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genus Butyricicoccus id.2055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rs12034718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-0.0701199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0.0158213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9.57679E-06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19.643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rs10084203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-0.0549699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0.0123563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8.58638E-06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19.791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rs56221232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0.0828027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0.0167401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7.61939E-07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24.467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rs2017189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0.0506956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0.011024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3.87258E-06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21.148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rs62478070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0.224039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0.0494959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5.93772E-06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20.488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rs4962426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-0.0614216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0.0135979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7.38482E-06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20.403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rs7322368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-0.0815733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0.0183167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5.51785E-06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19.834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rs12585793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-0.262206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0.0564729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5.79189E-06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21.558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rs75238760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0.0619423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0.0139942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6.79704E-06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19.592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unknown genus id.2071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rs4644504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-0.0969321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0.0216146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5.81969E-06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20.111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rs11809762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-0.0934634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0.0190198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1.68287E-06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24.147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rs11904514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0.109498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0.0249839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7.89951E-06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19.208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rs1809136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-0.0994594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0.0228638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8.36989E-06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18.923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rs16823675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-0.0767515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0.0149973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2.33346E-07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26.191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rs11684166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-0.0769635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0.0168349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3.49116E-06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20.900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rs10200320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-0.0641139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0.0142769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5.6607E-06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20.167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rs2898979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0.0901515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0.0202199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7.67291E-06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19.879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rs35740166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-0.112246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0.0226824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8.39982E-07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24.489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rs17086536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-0.100851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0.022432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3.3638E-06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20.213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rs34985298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-0.0623526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0.013772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8.33758E-06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20.498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rs1455639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-0.0760307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0.0169831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7.83899E-06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20.042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rs11195523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-0.0689278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0.0145351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2.40121E-06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22.488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rs2939766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-0.0591611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0.013042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7.01148E-06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20.577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rs76532867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0.112353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0.0242364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2.55859E-06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21.490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rs56975773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0.113282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0.0248859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7.65491E-06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20.721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rs12147596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-0.0719818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0.0141609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2.86207E-07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25.838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rs72700702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-0.091726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0.0189005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1.59272E-06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23.553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rs72707147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0.110109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0.0244644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6.84022E-06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20.257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rs6007642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-0.0791412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0.0177958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9.95543E-06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19.777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family Clostridiales vadin BB60 group id.11286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rs7538034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-0.078598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0.0165982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2.36706E-06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22.423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rs6588624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0.0662317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0.0138147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1.79287E-06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22.985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rs13409132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-0.165419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0.0352154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4.3723E-06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22.065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rs2191834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-0.0746375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0.0159136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2.50196E-06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21.998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rs6755871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-0.0613825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0.0138976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9.33061E-06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19.508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rs989682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0.070194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0.0155364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6.84715E-06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rs10517600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-0.0626993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0.0139364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6.82763E-06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20.241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rs34088226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-0.117807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0.026924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7.66214E-06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19.145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rs7725895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-0.116224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0.0240367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3.94357E-06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23.380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rs66714985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0.116908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0.0252447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4.85333E-06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21.446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rs118104867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0.214464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0.0455098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3.43598E-06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22.207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rs10904722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-0.0672314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0.0147123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5.04836E-06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20.883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rs17121075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0.0769254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0.0172234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7.91425E-06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19.948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rs55682560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-0.131519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0.0261319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4.97038E-07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25.330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rs28691777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0.137134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0.0266996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6.95697E-07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26.380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rs7226487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-0.0643682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0.0138701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3.58286E-06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21.537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rs9979874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-0.0738925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0.0150911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1.05271E-06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23.975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unknown genus id.1000000073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rs6588624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0.0662317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0.0138147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1.79287E-06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22.985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rs7538034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-0.078598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0.0165982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2.36706E-06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22.423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rs2191834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-0.0746375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0.0159136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2.50196E-06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21.998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rs13409132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-0.165419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0.0352154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4.3723E-06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22.065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rs6755871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-0.0613825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0.0138976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9.33061E-06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19.508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rs989682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0.070194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0.0155364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6.84715E-06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rs10517600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-0.0626993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0.0139364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6.82763E-06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20.241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rs7725895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-0.116224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0.0240367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3.94357E-06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23.380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rs34088226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-0.117807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0.026924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7.66214E-06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19.145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rs66714985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0.116908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0.0252447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4.85333E-06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21.446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rs118104867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0.214464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0.0455098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3.43598E-06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22.207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rs10904722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-0.0672314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0.0147123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5.04836E-06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20.883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rs17121075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0.0769254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0.0172234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7.91425E-06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19.948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rs55682560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-0.131519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0.0261319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4.97038E-07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25.330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rs28691777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0.137134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0.0266996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6.95697E-07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26.380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rs7226487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-0.0643682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0.0138701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3.58286E-06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21.537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rs9979874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-0.0738925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0.0150911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1.05271E-06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23.975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genus Clostridium innocuum group id.14397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rs6577484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0.160425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0.0360857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8.40601E-06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19.764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rs1948423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-0.108859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0.023425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3.49406E-06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21.596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rs40656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0.142664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0.0311021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8.61529E-06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21.040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rs6890185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-0.113424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0.0233137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1.12243E-06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23.669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rs4869133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-0.180591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0.0409505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7.24453E-06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19.448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rs10074000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-0.102648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0.0227508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6.99939E-06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20.357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rs71564433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-0.126746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0.0274657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7.8001E-06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21.295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rs10506058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0.0997048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0.0221926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8.92442E-06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20.184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rs77845139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-0.114993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0.0257186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8.40621E-06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19.992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rs61267978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0.14708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0.0320875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5.58509E-06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21.010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rs1942371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-0.157938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0.034187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4.0634E-06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21.343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class Lentisphaeria id.2250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rs72640280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0.220207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0.0486196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5.18036E-06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20.513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rs73113483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-0.131217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0.0288713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8.66343E-06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20.656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rs2731834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-0.109438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0.023693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4.24356E-06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21.335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rs11770843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0.109431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0.0234879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1.9073E-06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21.707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rs62570196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-0.21635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0.0439866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1.07924E-06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24.192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rs2031282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0.122368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0.0270329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4.38258E-06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20.490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rs17114848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0.152377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0.0324332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4.05864E-06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22.073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rs1002941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-0.105025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0.0233484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8.14836E-06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20.234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rs77599476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0.230292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0.0480168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1.86132E-06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23.002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rs2825714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-0.13741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0.0289246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1.72211E-06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22.568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order Victivallales id.2254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rs72640280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0.220207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0.0486196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5.18036E-06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20.513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rs73113483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-0.131217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0.0288713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8.66343E-06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20.656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rs2731834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-0.109438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0.023693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4.24356E-06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21.335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rs11770843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0.109431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0.0234879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1.9073E-06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21.707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rs62570196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-0.21635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0.0439866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1.07924E-06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24.192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rs2031282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0.122368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0.0270329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4.38258E-06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20.490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rs1002941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-0.105025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0.0233484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8.14836E-06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20.234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rs17114848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0.152377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0.0324332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4.05864E-06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22.073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rs77599476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0.230292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0.0480168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1.86132E-06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23.002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rs2825714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-0.13741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0.0289246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1.72211E-06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22.568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single" w:color="auto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genus Bifidobacterium id.436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 (P&lt;1</w:t>
            </w: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×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vertAlign w:val="superscript"/>
                <w:lang w:val="en-US" w:eastAsia="zh-CN" w:bidi="ar"/>
              </w:rPr>
              <w:t>-5</w:t>
            </w:r>
            <w:r>
              <w:rPr>
                <w:rFonts w:hint="eastAsia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)</w:t>
            </w: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rs12022129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-0.0619356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0.0138937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7.9965E-06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19.872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rs1961273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0.0674036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0.0132319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3.50865E-07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25.949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rs13020688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0.0562696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0.0122617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4.07258E-06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21.059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rs182549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-0.119703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0.0127294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1.2782E-20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0.006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88.429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rs62181700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-0.0624643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0.0131205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2.17245E-06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22.665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rs4567981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0.0562084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0.0117923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1.92832E-06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22.720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rs55888705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0.0546319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0.0121139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6.67022E-06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20.339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rs4957061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0.0534239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0.0117431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5.77936E-06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20.697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rs73797465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-0.0953566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0.0209236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4.38157E-06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20.770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rs76671854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-0.0846055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0.0184003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3.95667E-06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21.142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rs857444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0.0558234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0.0121219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0.000003571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21.208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rs2686790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-0.070741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0.0157926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7.49894E-06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20.065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rs2491158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A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-0.0712624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0.015983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8.04711E-06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19.879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rs10841473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-0.0624207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0.0129438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1.6452E-06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23.256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rs7322849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0.112428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0.0201813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1.08368E-08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0.002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31.035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rs540489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G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-0.0637641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0.0138746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5.19457E-06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21.121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rs75344046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0.232354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0.0505979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4.86351E-06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21.088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142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rs5746486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T</w:t>
            </w:r>
          </w:p>
        </w:tc>
        <w:tc>
          <w:tcPr>
            <w:tcW w:w="104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C</w:t>
            </w:r>
          </w:p>
        </w:tc>
        <w:tc>
          <w:tcPr>
            <w:tcW w:w="131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-0.0536216</w:t>
            </w:r>
          </w:p>
        </w:tc>
        <w:tc>
          <w:tcPr>
            <w:tcW w:w="120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0.0120801</w:t>
            </w:r>
          </w:p>
        </w:tc>
        <w:tc>
          <w:tcPr>
            <w:tcW w:w="1070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14306</w:t>
            </w:r>
          </w:p>
        </w:tc>
        <w:tc>
          <w:tcPr>
            <w:tcW w:w="1423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8.99953E-06</w:t>
            </w:r>
          </w:p>
        </w:tc>
        <w:tc>
          <w:tcPr>
            <w:tcW w:w="1006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0.001</w:t>
            </w:r>
          </w:p>
        </w:tc>
        <w:tc>
          <w:tcPr>
            <w:tcW w:w="117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19.703</w:t>
            </w:r>
          </w:p>
        </w:tc>
      </w:tr>
    </w:tbl>
    <w:p>
      <w:pPr>
        <w:keepNext w:val="0"/>
        <w:keepLines w:val="0"/>
        <w:widowControl/>
        <w:suppressLineNumbers w:val="0"/>
        <w:jc w:val="left"/>
        <w:rPr>
          <w:rFonts w:hint="default" w:ascii="Arial" w:hAnsi="Arial" w:cs="Arial"/>
          <w:bCs/>
          <w:sz w:val="24"/>
          <w:szCs w:val="24"/>
          <w:lang w:val="en-US"/>
        </w:rPr>
        <w:sectPr>
          <w:pgSz w:w="16838" w:h="11906" w:orient="landscape"/>
          <w:pgMar w:top="567" w:right="567" w:bottom="567" w:left="567" w:header="851" w:footer="283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26" w:charSpace="0"/>
        </w:sectPr>
      </w:pPr>
      <w:r>
        <w:rPr>
          <w:rFonts w:hint="eastAsia" w:ascii="Arial" w:hAnsi="Arial" w:cs="Arial"/>
          <w:sz w:val="16"/>
          <w:szCs w:val="16"/>
          <w:lang w:val="en-US" w:eastAsia="zh-CN"/>
        </w:rPr>
        <w:t xml:space="preserve">SNPs, </w:t>
      </w:r>
      <w:r>
        <w:rPr>
          <w:rFonts w:ascii="Arial" w:hAnsi="Arial" w:cs="Arial" w:eastAsiaTheme="minorHAnsi"/>
          <w:color w:val="000000"/>
          <w:kern w:val="0"/>
          <w:sz w:val="16"/>
          <w:szCs w:val="16"/>
        </w:rPr>
        <w:t>single nucleotide polymorphisms</w:t>
      </w:r>
      <w:r>
        <w:rPr>
          <w:rFonts w:hint="eastAsia" w:ascii="Arial" w:hAnsi="Arial" w:eastAsia="宋体" w:cs="Arial"/>
          <w:color w:val="000000"/>
          <w:kern w:val="0"/>
          <w:sz w:val="16"/>
          <w:szCs w:val="16"/>
          <w:lang w:val="en-US" w:eastAsia="zh-CN"/>
        </w:rPr>
        <w:t xml:space="preserve">; </w:t>
      </w:r>
      <w:r>
        <w:rPr>
          <w:rFonts w:hint="default" w:ascii="Arial" w:hAnsi="Arial" w:eastAsia="MinionPro-Regular" w:cs="Arial"/>
          <w:color w:val="252626"/>
          <w:kern w:val="0"/>
          <w:sz w:val="16"/>
          <w:szCs w:val="16"/>
          <w:lang w:val="en-US" w:eastAsia="zh-CN" w:bidi="ar"/>
        </w:rPr>
        <w:t xml:space="preserve">EA, effect allele; OA, other allele; 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lang w:val="en-US" w:eastAsia="zh-CN" w:bidi="ar"/>
        </w:rPr>
        <w:t xml:space="preserve">Beta, effect estimate; </w:t>
      </w:r>
      <w:r>
        <w:rPr>
          <w:rFonts w:hint="default" w:ascii="Arial" w:hAnsi="Arial" w:eastAsia="MinionPro-Regular" w:cs="Arial"/>
          <w:color w:val="252626"/>
          <w:kern w:val="0"/>
          <w:sz w:val="16"/>
          <w:szCs w:val="16"/>
          <w:lang w:val="en-US" w:eastAsia="zh-CN" w:bidi="ar"/>
        </w:rPr>
        <w:t>SE, standard error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lang w:val="en-US" w:eastAsia="zh-CN" w:bidi="ar"/>
        </w:rPr>
        <w:t>; R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vertAlign w:val="superscript"/>
          <w:lang w:val="en-US" w:eastAsia="zh-CN" w:bidi="ar"/>
        </w:rPr>
        <w:t>2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lang w:val="en-US" w:eastAsia="zh-CN" w:bidi="ar"/>
        </w:rPr>
        <w:t xml:space="preserve"> = (beta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vertAlign w:val="superscript"/>
          <w:lang w:val="en-US" w:eastAsia="zh-CN" w:bidi="ar"/>
        </w:rPr>
        <w:t>2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lang w:val="en-US" w:eastAsia="zh-CN" w:bidi="ar"/>
        </w:rPr>
        <w:t>) / (se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vertAlign w:val="superscript"/>
          <w:lang w:val="en-US" w:eastAsia="zh-CN" w:bidi="ar"/>
        </w:rPr>
        <w:t>2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vertAlign w:val="baseline"/>
          <w:lang w:val="en-US" w:eastAsia="zh-CN" w:bidi="ar"/>
        </w:rPr>
        <w:t>×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lang w:val="en-US" w:eastAsia="zh-CN" w:bidi="ar"/>
        </w:rPr>
        <w:t>N + beta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vertAlign w:val="superscript"/>
          <w:lang w:val="en-US" w:eastAsia="zh-CN" w:bidi="ar"/>
        </w:rPr>
        <w:t>2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lang w:val="en-US" w:eastAsia="zh-CN" w:bidi="ar"/>
        </w:rPr>
        <w:t>); F =  beta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vertAlign w:val="superscript"/>
          <w:lang w:val="en-US" w:eastAsia="zh-CN" w:bidi="ar"/>
        </w:rPr>
        <w:t>2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lang w:val="en-US" w:eastAsia="zh-CN" w:bidi="ar"/>
        </w:rPr>
        <w:t xml:space="preserve"> / se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vertAlign w:val="superscript"/>
          <w:lang w:val="en-US" w:eastAsia="zh-CN" w:bidi="ar"/>
        </w:rPr>
        <w:t>2</w:t>
      </w:r>
      <w:r>
        <w:rPr>
          <w:rFonts w:hint="eastAsia" w:ascii="Arial" w:hAnsi="Arial" w:eastAsia="MinionPro-Regular" w:cs="Arial"/>
          <w:color w:val="252626"/>
          <w:kern w:val="0"/>
          <w:sz w:val="16"/>
          <w:szCs w:val="16"/>
          <w:vertAlign w:val="baseline"/>
          <w:lang w:val="en-US" w:eastAsia="zh-CN" w:bidi="ar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ascii="Arial" w:hAnsi="Arial" w:cs="Arial"/>
          <w:bCs/>
          <w:sz w:val="24"/>
          <w:szCs w:val="24"/>
        </w:rPr>
      </w:pPr>
      <w:r>
        <w:rPr>
          <w:rFonts w:hint="default" w:ascii="Arial" w:hAnsi="Arial" w:eastAsia="等线" w:cs="Arial"/>
          <w:b/>
          <w:bCs w:val="0"/>
          <w:sz w:val="20"/>
          <w:szCs w:val="20"/>
        </w:rPr>
        <w:t>Table S</w:t>
      </w:r>
      <w:r>
        <w:rPr>
          <w:rFonts w:hint="eastAsia" w:ascii="Arial" w:hAnsi="Arial" w:eastAsia="等线" w:cs="Arial"/>
          <w:b/>
          <w:bCs w:val="0"/>
          <w:sz w:val="20"/>
          <w:szCs w:val="20"/>
          <w:lang w:val="en-US" w:eastAsia="zh-CN"/>
        </w:rPr>
        <w:t>6</w:t>
      </w:r>
      <w:r>
        <w:rPr>
          <w:rFonts w:hint="default" w:ascii="Arial" w:hAnsi="Arial" w:eastAsia="等线" w:cs="Arial"/>
          <w:b/>
          <w:bCs w:val="0"/>
          <w:sz w:val="20"/>
          <w:szCs w:val="20"/>
        </w:rPr>
        <w:t xml:space="preserve">. MR Power calculation for detecting significant (P &lt; 0.05) causal effect of gut microbiota on the risk of </w:t>
      </w:r>
      <w:r>
        <w:rPr>
          <w:rFonts w:hint="default" w:ascii="Arial" w:hAnsi="Arial" w:eastAsia="等线" w:cs="Arial"/>
          <w:b/>
          <w:bCs w:val="0"/>
          <w:sz w:val="20"/>
          <w:szCs w:val="20"/>
          <w:lang w:val="en-US" w:eastAsia="zh-CN"/>
        </w:rPr>
        <w:t>T2D/CAD</w:t>
      </w:r>
      <w:r>
        <w:rPr>
          <w:rFonts w:hint="default" w:ascii="Arial" w:hAnsi="Arial" w:eastAsia="等线" w:cs="Arial"/>
          <w:b/>
          <w:bCs w:val="0"/>
          <w:sz w:val="20"/>
          <w:szCs w:val="20"/>
        </w:rPr>
        <w:t>, and</w:t>
      </w:r>
      <w:r>
        <w:rPr>
          <w:rFonts w:hint="default" w:ascii="Arial" w:hAnsi="Arial" w:eastAsia="等线" w:cs="Arial"/>
          <w:b/>
          <w:bCs w:val="0"/>
          <w:sz w:val="20"/>
          <w:szCs w:val="20"/>
          <w:lang w:val="en-US" w:eastAsia="zh-CN"/>
        </w:rPr>
        <w:t xml:space="preserve"> T2D/CAD</w:t>
      </w:r>
      <w:r>
        <w:rPr>
          <w:rFonts w:hint="default" w:ascii="Arial" w:hAnsi="Arial" w:eastAsia="等线" w:cs="Arial"/>
          <w:b/>
          <w:bCs w:val="0"/>
          <w:sz w:val="20"/>
          <w:szCs w:val="20"/>
        </w:rPr>
        <w:t xml:space="preserve"> on </w:t>
      </w:r>
      <w:r>
        <w:rPr>
          <w:rFonts w:hint="default" w:ascii="Arial" w:hAnsi="Arial" w:eastAsia="等线" w:cs="Arial"/>
          <w:b/>
          <w:bCs w:val="0"/>
          <w:sz w:val="20"/>
          <w:szCs w:val="20"/>
          <w:lang w:val="en-US" w:eastAsia="zh-CN"/>
        </w:rPr>
        <w:t>the risk of gut microbiota</w:t>
      </w:r>
      <w:r>
        <w:rPr>
          <w:rFonts w:hint="default" w:ascii="Arial" w:hAnsi="Arial" w:eastAsia="等线" w:cs="Arial"/>
          <w:b/>
          <w:bCs w:val="0"/>
          <w:sz w:val="20"/>
          <w:szCs w:val="20"/>
        </w:rPr>
        <w:t>.</w:t>
      </w:r>
    </w:p>
    <w:tbl>
      <w:tblPr>
        <w:tblStyle w:val="5"/>
        <w:tblW w:w="10797" w:type="dxa"/>
        <w:tblInd w:w="1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3"/>
        <w:gridCol w:w="4766"/>
        <w:gridCol w:w="883"/>
        <w:gridCol w:w="851"/>
        <w:gridCol w:w="1608"/>
        <w:gridCol w:w="160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Expoure</w:t>
            </w:r>
          </w:p>
        </w:tc>
        <w:tc>
          <w:tcPr>
            <w:tcW w:w="4766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Outcome</w:t>
            </w:r>
          </w:p>
        </w:tc>
        <w:tc>
          <w:tcPr>
            <w:tcW w:w="883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NSNPs</w:t>
            </w:r>
          </w:p>
        </w:tc>
        <w:tc>
          <w:tcPr>
            <w:tcW w:w="851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vertAlign w:val="superscript"/>
                <w:lang w:val="en-US" w:eastAsia="zh-CN" w:bidi="ar"/>
              </w:rPr>
              <w:t>2</w:t>
            </w:r>
          </w:p>
        </w:tc>
        <w:tc>
          <w:tcPr>
            <w:tcW w:w="3214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Power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83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51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0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beta=0.1</w:t>
            </w:r>
          </w:p>
        </w:tc>
        <w:tc>
          <w:tcPr>
            <w:tcW w:w="160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beta=0.2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restart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T2D</w:t>
            </w:r>
          </w:p>
        </w:tc>
        <w:tc>
          <w:tcPr>
            <w:tcW w:w="4766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Butyrivibrio id.1993</w:t>
            </w:r>
          </w:p>
        </w:tc>
        <w:tc>
          <w:tcPr>
            <w:tcW w:w="883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124</w:t>
            </w:r>
          </w:p>
        </w:tc>
        <w:tc>
          <w:tcPr>
            <w:tcW w:w="851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0.143 </w:t>
            </w:r>
          </w:p>
        </w:tc>
        <w:tc>
          <w:tcPr>
            <w:tcW w:w="1608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Catenibacterium id.2153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114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0.134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Olsenella id.822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124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0.143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family Oxalobacteraceae id.2966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125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0.143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Erysipelotrichaceae UCG003 id.11384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0.82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restart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CAD</w:t>
            </w: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Veillonella id.2198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Butyricicoccus id.2055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family Christensenellaceae id.1866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0.011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0.58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0.99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Ruminococcaceae UCG004 id.11362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Haemophilus id.3698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class Gammaproteobacteria id.3303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family Prevotellaceae id.960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Coprococcus1 id.11301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Lachnospiraceae UCG008 id.11328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0.052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Family XIII UCG001 id.11294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Methanobrevibacter id.123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0.048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Lachnospiraceae UCG010 id.11330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class Methanobacteria id.119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0.048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family Methanobacteriaceae id.121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0.048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order Methanobacteriales id.120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0.048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family Lachnospiraceae id.1987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family Pasteurellaceae id.3689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order Pasteurellales id.3688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0.053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genus Prevotella9 id.11183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0.053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1.00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Outcome</w:t>
            </w:r>
          </w:p>
        </w:tc>
        <w:tc>
          <w:tcPr>
            <w:tcW w:w="4766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Expoure</w:t>
            </w:r>
          </w:p>
        </w:tc>
        <w:tc>
          <w:tcPr>
            <w:tcW w:w="883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NSNPs</w:t>
            </w:r>
          </w:p>
        </w:tc>
        <w:tc>
          <w:tcPr>
            <w:tcW w:w="851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R</w:t>
            </w: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vertAlign w:val="superscript"/>
                <w:lang w:val="en-US" w:eastAsia="zh-CN" w:bidi="ar"/>
              </w:rPr>
              <w:t>2</w:t>
            </w:r>
          </w:p>
        </w:tc>
        <w:tc>
          <w:tcPr>
            <w:tcW w:w="3214" w:type="dxa"/>
            <w:gridSpan w:val="2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Power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766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83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51" w:type="dxa"/>
            <w:vMerge w:val="continue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0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beta=0.1</w:t>
            </w:r>
          </w:p>
        </w:tc>
        <w:tc>
          <w:tcPr>
            <w:tcW w:w="160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default" w:ascii="Arial" w:hAnsi="Arial" w:eastAsia="宋体" w:cs="Arial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beta=0.2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restart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CAD</w:t>
            </w:r>
          </w:p>
        </w:tc>
        <w:tc>
          <w:tcPr>
            <w:tcW w:w="4766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genus Oxalobacter id.2978</w:t>
            </w:r>
          </w:p>
        </w:tc>
        <w:tc>
          <w:tcPr>
            <w:tcW w:w="883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851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0.018 </w:t>
            </w:r>
          </w:p>
        </w:tc>
        <w:tc>
          <w:tcPr>
            <w:tcW w:w="1608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0.36 </w:t>
            </w:r>
          </w:p>
        </w:tc>
        <w:tc>
          <w:tcPr>
            <w:tcW w:w="1606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0.91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genus Turicibacter id.2162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0.016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0.33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0.87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genus Butyricicoccus id.2055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0.120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0.26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0.76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unknown genus id.2071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0.240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0.46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0.97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family Clostridiales vadin BB60 group id.11286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0.260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0.49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0.98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unknown genus id.1000000073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0.230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0.45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0.96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genus Clostridium innocuum group id.14397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0.130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0.28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0.79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class Lentisphaeria id.2250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0.120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0.26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0.76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order Victivallales id.2254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0.120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0.26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0.76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genus Bifidobacterium id.436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0.260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0.49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0.98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restart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T2D</w:t>
            </w: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genus Lachnoclostridium id.11308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0.012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0.26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0.76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genus Streptococcus id.1853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0.018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0.36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0.91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genus Actinomyces id.423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0.007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0.17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0.53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family Streptococcaceae id.1850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0.020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0.40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nil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0.93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083" w:type="dxa"/>
            <w:vMerge w:val="continue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76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unknown genus id.2041</w:t>
            </w:r>
          </w:p>
        </w:tc>
        <w:tc>
          <w:tcPr>
            <w:tcW w:w="883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851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0.009 </w:t>
            </w:r>
          </w:p>
        </w:tc>
        <w:tc>
          <w:tcPr>
            <w:tcW w:w="1608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0.21 </w:t>
            </w:r>
          </w:p>
        </w:tc>
        <w:tc>
          <w:tcPr>
            <w:tcW w:w="16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Arial" w:hAnsi="Arial" w:eastAsia="宋体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default" w:ascii="Arial" w:hAnsi="Arial" w:eastAsia="宋体" w:cs="Arial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0.64 </w:t>
            </w:r>
          </w:p>
        </w:tc>
      </w:tr>
    </w:tbl>
    <w:p>
      <w:pPr>
        <w:widowControl/>
        <w:spacing w:line="480" w:lineRule="auto"/>
        <w:jc w:val="left"/>
        <w:rPr>
          <w:rFonts w:hint="eastAsia" w:ascii="Arial" w:hAnsi="Arial" w:cs="Arial" w:eastAsiaTheme="minorEastAsia"/>
          <w:bCs/>
          <w:sz w:val="24"/>
          <w:szCs w:val="24"/>
          <w:lang w:eastAsia="zh-CN"/>
        </w:rPr>
      </w:pPr>
      <w:r>
        <w:rPr>
          <w:rFonts w:hint="eastAsia" w:ascii="Arial" w:hAnsi="Arial" w:cs="Arial" w:eastAsiaTheme="minorEastAsia"/>
          <w:bCs/>
          <w:sz w:val="24"/>
          <w:szCs w:val="24"/>
          <w:lang w:eastAsia="zh-CN"/>
        </w:rPr>
        <w:drawing>
          <wp:inline distT="0" distB="0" distL="114300" distR="114300">
            <wp:extent cx="6830695" cy="8323580"/>
            <wp:effectExtent l="0" t="0" r="8255" b="1270"/>
            <wp:docPr id="2" name="图片 2" descr="leave one out GM 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leave one out GM E"/>
                    <pic:cNvPicPr>
                      <a:picLocks noChangeAspect="1"/>
                    </pic:cNvPicPr>
                  </pic:nvPicPr>
                  <pic:blipFill>
                    <a:blip r:embed="rId5"/>
                    <a:srcRect t="4224" r="84" b="9664"/>
                    <a:stretch>
                      <a:fillRect/>
                    </a:stretch>
                  </pic:blipFill>
                  <pic:spPr>
                    <a:xfrm>
                      <a:off x="0" y="0"/>
                      <a:ext cx="6830695" cy="832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Arial" w:hAnsi="Arial" w:cs="Arial" w:eastAsiaTheme="minorEastAsia"/>
          <w:bCs/>
          <w:sz w:val="24"/>
          <w:szCs w:val="24"/>
          <w:lang w:eastAsia="zh-CN"/>
        </w:rPr>
      </w:pPr>
      <w:r>
        <w:rPr>
          <w:rFonts w:ascii="Arial" w:hAnsi="Arial" w:cs="Arial"/>
          <w:b/>
          <w:bCs w:val="0"/>
          <w:sz w:val="20"/>
          <w:szCs w:val="20"/>
        </w:rPr>
        <w:t>Figure S1. Leave-one-out analysis of inverse-variance weighted (IVW) estimates between genetically determined gut microbiota traits (p &lt; 1 × 10</w:t>
      </w:r>
      <w:r>
        <w:rPr>
          <w:rFonts w:ascii="Arial" w:hAnsi="Arial" w:cs="Arial"/>
          <w:b/>
          <w:bCs w:val="0"/>
          <w:sz w:val="20"/>
          <w:szCs w:val="20"/>
          <w:vertAlign w:val="superscript"/>
        </w:rPr>
        <w:t>-5</w:t>
      </w:r>
      <w:r>
        <w:rPr>
          <w:rFonts w:ascii="Arial" w:hAnsi="Arial" w:cs="Arial"/>
          <w:b/>
          <w:bCs w:val="0"/>
          <w:sz w:val="20"/>
          <w:szCs w:val="20"/>
        </w:rPr>
        <w:t xml:space="preserve">) and </w:t>
      </w:r>
      <w:r>
        <w:rPr>
          <w:rFonts w:hint="default" w:ascii="Arial" w:hAnsi="Arial" w:eastAsia="Segoe UI" w:cs="Arial"/>
          <w:b/>
          <w:bCs w:val="0"/>
          <w:i w:val="0"/>
          <w:iCs w:val="0"/>
          <w:caps w:val="0"/>
          <w:color w:val="212529"/>
          <w:spacing w:val="0"/>
          <w:sz w:val="20"/>
          <w:szCs w:val="20"/>
          <w:shd w:val="clear" w:fill="FFFFFF"/>
        </w:rPr>
        <w:t>Type 2 diabetes</w:t>
      </w:r>
      <w:r>
        <w:rPr>
          <w:rFonts w:ascii="Arial" w:hAnsi="Arial" w:cs="Arial"/>
          <w:b/>
          <w:bCs w:val="0"/>
          <w:sz w:val="20"/>
          <w:szCs w:val="20"/>
        </w:rPr>
        <w:t xml:space="preserve"> (</w:t>
      </w:r>
      <w:r>
        <w:rPr>
          <w:rFonts w:hint="eastAsia" w:ascii="Arial" w:hAnsi="Arial" w:cs="Arial"/>
          <w:b/>
          <w:bCs w:val="0"/>
          <w:sz w:val="20"/>
          <w:szCs w:val="20"/>
          <w:lang w:val="en-US" w:eastAsia="zh-CN"/>
        </w:rPr>
        <w:t>T2D</w:t>
      </w:r>
      <w:r>
        <w:rPr>
          <w:rFonts w:ascii="Arial" w:hAnsi="Arial" w:cs="Arial"/>
          <w:b/>
          <w:bCs w:val="0"/>
          <w:sz w:val="20"/>
          <w:szCs w:val="20"/>
        </w:rPr>
        <w:t xml:space="preserve">), as well as </w:t>
      </w:r>
      <w:r>
        <w:rPr>
          <w:rFonts w:hint="eastAsia" w:ascii="Arial" w:hAnsi="Arial" w:eastAsia="等线" w:cs="Arial"/>
          <w:b/>
          <w:bCs w:val="0"/>
          <w:sz w:val="20"/>
          <w:szCs w:val="20"/>
        </w:rPr>
        <w:t>coronary artery disease</w:t>
      </w:r>
      <w:r>
        <w:rPr>
          <w:rFonts w:ascii="Arial" w:hAnsi="Arial" w:cs="Arial"/>
          <w:b/>
          <w:bCs w:val="0"/>
          <w:sz w:val="20"/>
          <w:szCs w:val="20"/>
        </w:rPr>
        <w:t xml:space="preserve"> (</w:t>
      </w:r>
      <w:r>
        <w:rPr>
          <w:rFonts w:hint="eastAsia" w:ascii="Arial" w:hAnsi="Arial" w:cs="Arial"/>
          <w:b/>
          <w:bCs w:val="0"/>
          <w:sz w:val="20"/>
          <w:szCs w:val="20"/>
          <w:lang w:val="en-US" w:eastAsia="zh-CN"/>
        </w:rPr>
        <w:t>CAD</w:t>
      </w:r>
      <w:r>
        <w:rPr>
          <w:rFonts w:ascii="Arial" w:hAnsi="Arial" w:cs="Arial"/>
          <w:b/>
          <w:bCs w:val="0"/>
          <w:sz w:val="20"/>
          <w:szCs w:val="20"/>
        </w:rPr>
        <w:t>).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sectPr>
          <w:pgSz w:w="11906" w:h="16838"/>
          <w:pgMar w:top="567" w:right="567" w:bottom="567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26" w:charSpace="0"/>
        </w:sectPr>
      </w:pP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 xml:space="preserve">Black dots indicate the IVW estimates (raw 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beta</w:t>
      </w: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 xml:space="preserve">) after leaving a SNP in the 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c</w:t>
      </w: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 xml:space="preserve">alculation. The red dots indicate the pooled IVW estimates (raw 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beta</w:t>
      </w: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>). The horizontal line indicates the range of 95% confidence intervals.</w:t>
      </w:r>
    </w:p>
    <w:p>
      <w:pPr>
        <w:rPr>
          <w:rFonts w:hint="eastAsia" w:ascii="Arial" w:hAnsi="Arial" w:cs="Arial" w:eastAsiaTheme="minorEastAsia"/>
          <w:bCs/>
          <w:sz w:val="20"/>
          <w:szCs w:val="20"/>
          <w:lang w:eastAsia="zh-CN"/>
        </w:rPr>
      </w:pPr>
      <w:r>
        <w:rPr>
          <w:rFonts w:hint="eastAsia" w:ascii="Arial" w:hAnsi="Arial" w:cs="Arial" w:eastAsiaTheme="minorEastAsia"/>
          <w:bCs/>
          <w:sz w:val="20"/>
          <w:szCs w:val="20"/>
          <w:lang w:eastAsia="zh-CN"/>
        </w:rPr>
        <w:drawing>
          <wp:inline distT="0" distB="0" distL="114300" distR="114300">
            <wp:extent cx="6836410" cy="9665970"/>
            <wp:effectExtent l="0" t="0" r="2540" b="1905"/>
            <wp:docPr id="8" name="图片 8" descr="leave one out GM O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leave one out GM O_画板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480" w:lineRule="auto"/>
        <w:jc w:val="left"/>
        <w:rPr>
          <w:rFonts w:hint="eastAsia" w:ascii="Arial" w:hAnsi="Arial" w:cs="Arial" w:eastAsiaTheme="minorEastAsia"/>
          <w:bCs/>
          <w:sz w:val="20"/>
          <w:szCs w:val="20"/>
          <w:lang w:eastAsia="zh-CN"/>
        </w:rPr>
      </w:pPr>
    </w:p>
    <w:p>
      <w:pPr>
        <w:widowControl/>
        <w:spacing w:line="480" w:lineRule="auto"/>
        <w:jc w:val="left"/>
        <w:rPr>
          <w:rFonts w:hint="eastAsia" w:ascii="Arial" w:hAnsi="Arial" w:cs="Arial" w:eastAsiaTheme="minorEastAsia"/>
          <w:bCs/>
          <w:sz w:val="20"/>
          <w:szCs w:val="20"/>
          <w:lang w:eastAsia="zh-CN"/>
        </w:rPr>
      </w:pPr>
      <w:r>
        <w:rPr>
          <w:rFonts w:hint="eastAsia" w:ascii="Arial" w:hAnsi="Arial" w:cs="Arial" w:eastAsiaTheme="minorEastAsia"/>
          <w:bCs/>
          <w:sz w:val="20"/>
          <w:szCs w:val="20"/>
          <w:lang w:eastAsia="zh-CN"/>
        </w:rPr>
        <w:drawing>
          <wp:inline distT="0" distB="0" distL="114300" distR="114300">
            <wp:extent cx="6836410" cy="6305550"/>
            <wp:effectExtent l="0" t="0" r="0" b="0"/>
            <wp:docPr id="3" name="图片 3" descr="leave one out GM O2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leave one out GM O2_画板 1"/>
                    <pic:cNvPicPr>
                      <a:picLocks noChangeAspect="1"/>
                    </pic:cNvPicPr>
                  </pic:nvPicPr>
                  <pic:blipFill>
                    <a:blip r:embed="rId7"/>
                    <a:srcRect b="34765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630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default" w:ascii="Arial" w:hAnsi="Arial" w:cs="Arial"/>
          <w:b/>
          <w:bCs w:val="0"/>
          <w:sz w:val="20"/>
          <w:szCs w:val="20"/>
        </w:rPr>
      </w:pPr>
      <w:r>
        <w:rPr>
          <w:rFonts w:hint="default" w:ascii="Arial" w:hAnsi="Arial" w:cs="Arial"/>
          <w:b/>
          <w:bCs w:val="0"/>
          <w:sz w:val="20"/>
          <w:szCs w:val="20"/>
        </w:rPr>
        <w:t>Figure S2. Leave-one-out analysis of inverse-variance weighted (IVW) estimates between genetically determined type 2 diabetes</w:t>
      </w:r>
      <w:r>
        <w:rPr>
          <w:rFonts w:hint="default" w:ascii="Arial" w:hAnsi="Arial" w:cs="Arial"/>
          <w:b/>
          <w:bCs w:val="0"/>
          <w:sz w:val="20"/>
          <w:szCs w:val="20"/>
          <w:lang w:val="en-US" w:eastAsia="zh-CN"/>
        </w:rPr>
        <w:t xml:space="preserve"> (T2D)</w:t>
      </w:r>
      <w:r>
        <w:rPr>
          <w:rFonts w:hint="default" w:ascii="Arial" w:hAnsi="Arial" w:cs="Arial"/>
          <w:b/>
          <w:bCs w:val="0"/>
          <w:sz w:val="20"/>
          <w:szCs w:val="20"/>
        </w:rPr>
        <w:t xml:space="preserve"> traits</w:t>
      </w:r>
      <w:r>
        <w:rPr>
          <w:rFonts w:hint="default" w:ascii="Arial" w:hAnsi="Arial" w:cs="Arial"/>
          <w:b/>
          <w:bCs w:val="0"/>
          <w:sz w:val="20"/>
          <w:szCs w:val="20"/>
          <w:lang w:val="en-US" w:eastAsia="zh-CN"/>
        </w:rPr>
        <w:t xml:space="preserve"> </w:t>
      </w:r>
      <w:r>
        <w:rPr>
          <w:rFonts w:hint="default" w:ascii="Arial" w:hAnsi="Arial" w:eastAsia="等线" w:cs="Arial"/>
          <w:b/>
          <w:bCs w:val="0"/>
          <w:sz w:val="20"/>
          <w:szCs w:val="20"/>
          <w:lang w:val="en-US" w:eastAsia="zh-CN"/>
        </w:rPr>
        <w:t xml:space="preserve">(P &lt; </w:t>
      </w:r>
      <w:r>
        <w:rPr>
          <w:rFonts w:hint="eastAsia" w:ascii="Arial" w:hAnsi="Arial" w:eastAsia="等线" w:cs="Arial"/>
          <w:b/>
          <w:bCs w:val="0"/>
          <w:sz w:val="20"/>
          <w:szCs w:val="20"/>
          <w:lang w:val="en-US" w:eastAsia="zh-CN"/>
        </w:rPr>
        <w:t>5</w:t>
      </w:r>
      <w:r>
        <w:rPr>
          <w:rFonts w:hint="default" w:ascii="Arial" w:hAnsi="Arial" w:eastAsia="等线" w:cs="Arial"/>
          <w:b/>
          <w:bCs w:val="0"/>
          <w:sz w:val="20"/>
          <w:szCs w:val="20"/>
          <w:lang w:val="en-US" w:eastAsia="zh-CN"/>
        </w:rPr>
        <w:t>×10</w:t>
      </w:r>
      <w:r>
        <w:rPr>
          <w:rFonts w:hint="default" w:ascii="Arial" w:hAnsi="Arial" w:eastAsia="等线" w:cs="Arial"/>
          <w:b/>
          <w:bCs w:val="0"/>
          <w:sz w:val="20"/>
          <w:szCs w:val="20"/>
          <w:vertAlign w:val="superscript"/>
          <w:lang w:val="en-US" w:eastAsia="zh-CN"/>
        </w:rPr>
        <w:t>-</w:t>
      </w:r>
      <w:r>
        <w:rPr>
          <w:rFonts w:hint="eastAsia" w:ascii="Arial" w:hAnsi="Arial" w:eastAsia="等线" w:cs="Arial"/>
          <w:b/>
          <w:bCs w:val="0"/>
          <w:sz w:val="20"/>
          <w:szCs w:val="20"/>
          <w:vertAlign w:val="superscript"/>
          <w:lang w:val="en-US" w:eastAsia="zh-CN"/>
        </w:rPr>
        <w:t>8</w:t>
      </w:r>
      <w:r>
        <w:rPr>
          <w:rFonts w:hint="default" w:ascii="Arial" w:hAnsi="Arial" w:eastAsia="等线" w:cs="Arial"/>
          <w:b/>
          <w:bCs w:val="0"/>
          <w:sz w:val="20"/>
          <w:szCs w:val="20"/>
          <w:lang w:val="en-US" w:eastAsia="zh-CN"/>
        </w:rPr>
        <w:t>)</w:t>
      </w:r>
      <w:r>
        <w:rPr>
          <w:rFonts w:hint="default" w:ascii="Arial" w:hAnsi="Arial" w:cs="Arial"/>
          <w:b/>
          <w:bCs w:val="0"/>
          <w:sz w:val="20"/>
          <w:szCs w:val="20"/>
        </w:rPr>
        <w:t>, as well as coronary artery disease</w:t>
      </w:r>
      <w:r>
        <w:rPr>
          <w:rFonts w:hint="default" w:ascii="Arial" w:hAnsi="Arial" w:cs="Arial"/>
          <w:b/>
          <w:bCs w:val="0"/>
          <w:sz w:val="20"/>
          <w:szCs w:val="20"/>
          <w:lang w:val="en-US" w:eastAsia="zh-CN"/>
        </w:rPr>
        <w:t xml:space="preserve"> (CAD)</w:t>
      </w:r>
      <w:r>
        <w:rPr>
          <w:rFonts w:hint="default" w:ascii="Arial" w:hAnsi="Arial" w:cs="Arial"/>
          <w:b/>
          <w:bCs w:val="0"/>
          <w:sz w:val="20"/>
          <w:szCs w:val="20"/>
        </w:rPr>
        <w:t xml:space="preserve"> traits</w:t>
      </w:r>
      <w:r>
        <w:rPr>
          <w:rFonts w:hint="default" w:ascii="Arial" w:hAnsi="Arial" w:cs="Arial"/>
          <w:b/>
          <w:bCs w:val="0"/>
          <w:sz w:val="20"/>
          <w:szCs w:val="20"/>
          <w:lang w:val="en-US" w:eastAsia="zh-CN"/>
        </w:rPr>
        <w:t xml:space="preserve"> </w:t>
      </w:r>
      <w:r>
        <w:rPr>
          <w:rFonts w:hint="default" w:ascii="Arial" w:hAnsi="Arial" w:eastAsia="等线" w:cs="Arial"/>
          <w:b/>
          <w:bCs w:val="0"/>
          <w:sz w:val="20"/>
          <w:szCs w:val="20"/>
          <w:lang w:val="en-US" w:eastAsia="zh-CN"/>
        </w:rPr>
        <w:t xml:space="preserve">(P &lt; </w:t>
      </w:r>
      <w:r>
        <w:rPr>
          <w:rFonts w:hint="eastAsia" w:ascii="Arial" w:hAnsi="Arial" w:eastAsia="等线" w:cs="Arial"/>
          <w:b/>
          <w:bCs w:val="0"/>
          <w:sz w:val="20"/>
          <w:szCs w:val="20"/>
          <w:lang w:val="en-US" w:eastAsia="zh-CN"/>
        </w:rPr>
        <w:t>5</w:t>
      </w:r>
      <w:r>
        <w:rPr>
          <w:rFonts w:hint="default" w:ascii="Arial" w:hAnsi="Arial" w:eastAsia="等线" w:cs="Arial"/>
          <w:b/>
          <w:bCs w:val="0"/>
          <w:sz w:val="20"/>
          <w:szCs w:val="20"/>
          <w:lang w:val="en-US" w:eastAsia="zh-CN"/>
        </w:rPr>
        <w:t>×10</w:t>
      </w:r>
      <w:r>
        <w:rPr>
          <w:rFonts w:hint="default" w:ascii="Arial" w:hAnsi="Arial" w:eastAsia="等线" w:cs="Arial"/>
          <w:b/>
          <w:bCs w:val="0"/>
          <w:sz w:val="20"/>
          <w:szCs w:val="20"/>
          <w:vertAlign w:val="superscript"/>
          <w:lang w:val="en-US" w:eastAsia="zh-CN"/>
        </w:rPr>
        <w:t>-</w:t>
      </w:r>
      <w:r>
        <w:rPr>
          <w:rFonts w:hint="eastAsia" w:ascii="Arial" w:hAnsi="Arial" w:eastAsia="等线" w:cs="Arial"/>
          <w:b/>
          <w:bCs w:val="0"/>
          <w:sz w:val="20"/>
          <w:szCs w:val="20"/>
          <w:vertAlign w:val="superscript"/>
          <w:lang w:val="en-US" w:eastAsia="zh-CN"/>
        </w:rPr>
        <w:t>8</w:t>
      </w:r>
      <w:r>
        <w:rPr>
          <w:rFonts w:hint="default" w:ascii="Arial" w:hAnsi="Arial" w:eastAsia="等线" w:cs="Arial"/>
          <w:b/>
          <w:bCs w:val="0"/>
          <w:sz w:val="20"/>
          <w:szCs w:val="20"/>
          <w:lang w:val="en-US" w:eastAsia="zh-CN"/>
        </w:rPr>
        <w:t>)</w:t>
      </w:r>
      <w:r>
        <w:rPr>
          <w:rFonts w:hint="default" w:ascii="Arial" w:hAnsi="Arial" w:cs="Arial"/>
          <w:b/>
          <w:bCs w:val="0"/>
          <w:sz w:val="20"/>
          <w:szCs w:val="20"/>
        </w:rPr>
        <w:t>, and gut microbiota.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sectPr>
          <w:pgSz w:w="11906" w:h="16838"/>
          <w:pgMar w:top="567" w:right="567" w:bottom="567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26" w:charSpace="0"/>
        </w:sectPr>
      </w:pP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 xml:space="preserve">Black dots indicate the IVW estimates (raw 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beta</w:t>
      </w: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 xml:space="preserve">) after leaving a SNP in the 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c</w:t>
      </w: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 xml:space="preserve">alculation. The red dots indicate the pooled IVW estimates (raw 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beta</w:t>
      </w: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>). The horizontal line indicates the range of 95% confidence intervals.</w:t>
      </w:r>
    </w:p>
    <w:p>
      <w:pPr>
        <w:widowControl/>
        <w:spacing w:line="480" w:lineRule="auto"/>
        <w:jc w:val="left"/>
        <w:rPr>
          <w:rFonts w:hint="eastAsia" w:ascii="Arial" w:hAnsi="Arial" w:cs="Arial" w:eastAsiaTheme="minorEastAsia"/>
          <w:bCs/>
          <w:sz w:val="24"/>
          <w:szCs w:val="24"/>
          <w:lang w:eastAsia="zh-CN"/>
        </w:rPr>
      </w:pPr>
      <w:r>
        <w:rPr>
          <w:rFonts w:hint="eastAsia" w:ascii="Arial" w:hAnsi="Arial" w:cs="Arial" w:eastAsiaTheme="minorEastAsia"/>
          <w:bCs/>
          <w:sz w:val="24"/>
          <w:szCs w:val="24"/>
          <w:lang w:eastAsia="zh-CN"/>
        </w:rPr>
        <w:drawing>
          <wp:inline distT="0" distB="0" distL="114300" distR="114300">
            <wp:extent cx="6836410" cy="9665970"/>
            <wp:effectExtent l="0" t="0" r="2540" b="1905"/>
            <wp:docPr id="6" name="图片 6" descr="leave one out 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leave one out M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480" w:lineRule="auto"/>
        <w:jc w:val="left"/>
        <w:rPr>
          <w:rFonts w:hint="eastAsia" w:ascii="Arial" w:hAnsi="Arial" w:cs="Arial" w:eastAsiaTheme="minorEastAsia"/>
          <w:bCs/>
          <w:sz w:val="24"/>
          <w:szCs w:val="24"/>
          <w:lang w:eastAsia="zh-CN"/>
        </w:rPr>
      </w:pPr>
      <w:r>
        <w:rPr>
          <w:rFonts w:hint="eastAsia" w:ascii="Arial" w:hAnsi="Arial" w:cs="Arial" w:eastAsiaTheme="minorEastAsia"/>
          <w:bCs/>
          <w:sz w:val="24"/>
          <w:szCs w:val="24"/>
          <w:lang w:eastAsia="zh-CN"/>
        </w:rPr>
        <w:drawing>
          <wp:inline distT="0" distB="0" distL="114300" distR="114300">
            <wp:extent cx="6830695" cy="8836660"/>
            <wp:effectExtent l="0" t="0" r="8255" b="2540"/>
            <wp:docPr id="5" name="图片 5" descr="leave one out M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eave one out M2"/>
                    <pic:cNvPicPr>
                      <a:picLocks noChangeAspect="1"/>
                    </pic:cNvPicPr>
                  </pic:nvPicPr>
                  <pic:blipFill>
                    <a:blip r:embed="rId9"/>
                    <a:srcRect t="4112" r="84" b="4467"/>
                    <a:stretch>
                      <a:fillRect/>
                    </a:stretch>
                  </pic:blipFill>
                  <pic:spPr>
                    <a:xfrm>
                      <a:off x="0" y="0"/>
                      <a:ext cx="6830695" cy="883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Figure S3. </w:t>
      </w:r>
      <w:r>
        <w:rPr>
          <w:rFonts w:ascii="Arial" w:hAnsi="Arial" w:cs="Arial"/>
          <w:sz w:val="20"/>
          <w:szCs w:val="20"/>
        </w:rPr>
        <w:t>Leave-one-out analysis of inverse-variance weighted (IVW) estimates between genetically determined metabolites traits (p &lt; 1 × 10</w:t>
      </w:r>
      <w:r>
        <w:rPr>
          <w:rFonts w:ascii="Arial" w:hAnsi="Arial" w:cs="Arial"/>
          <w:sz w:val="20"/>
          <w:szCs w:val="20"/>
          <w:vertAlign w:val="superscript"/>
        </w:rPr>
        <w:t>-5</w:t>
      </w:r>
      <w:r>
        <w:rPr>
          <w:rFonts w:ascii="Arial" w:hAnsi="Arial" w:cs="Arial"/>
          <w:sz w:val="20"/>
          <w:szCs w:val="20"/>
        </w:rPr>
        <w:t xml:space="preserve">) and </w:t>
      </w:r>
      <w:r>
        <w:rPr>
          <w:rFonts w:hint="default" w:ascii="Arial" w:hAnsi="Arial" w:eastAsia="Segoe UI" w:cs="Arial"/>
          <w:b w:val="0"/>
          <w:bCs w:val="0"/>
          <w:i w:val="0"/>
          <w:iCs w:val="0"/>
          <w:caps w:val="0"/>
          <w:color w:val="212529"/>
          <w:spacing w:val="0"/>
          <w:sz w:val="20"/>
          <w:szCs w:val="20"/>
          <w:shd w:val="clear" w:fill="FFFFFF"/>
        </w:rPr>
        <w:t>Type 2 diabetes</w:t>
      </w:r>
      <w:r>
        <w:rPr>
          <w:rFonts w:ascii="Arial" w:hAnsi="Arial" w:cs="Arial"/>
          <w:sz w:val="20"/>
          <w:szCs w:val="20"/>
        </w:rPr>
        <w:t xml:space="preserve"> (</w:t>
      </w:r>
      <w:r>
        <w:rPr>
          <w:rFonts w:hint="eastAsia" w:ascii="Arial" w:hAnsi="Arial" w:cs="Arial"/>
          <w:sz w:val="20"/>
          <w:szCs w:val="20"/>
          <w:lang w:val="en-US" w:eastAsia="zh-CN"/>
        </w:rPr>
        <w:t>T2D</w:t>
      </w:r>
      <w:r>
        <w:rPr>
          <w:rFonts w:ascii="Arial" w:hAnsi="Arial" w:cs="Arial"/>
          <w:sz w:val="20"/>
          <w:szCs w:val="20"/>
        </w:rPr>
        <w:t xml:space="preserve">), as well as </w:t>
      </w:r>
      <w:r>
        <w:rPr>
          <w:rFonts w:hint="eastAsia" w:ascii="Arial" w:hAnsi="Arial" w:eastAsia="等线" w:cs="Arial"/>
          <w:b w:val="0"/>
          <w:bCs/>
          <w:sz w:val="20"/>
          <w:szCs w:val="20"/>
        </w:rPr>
        <w:t>coronary artery disease</w:t>
      </w:r>
      <w:r>
        <w:rPr>
          <w:rFonts w:ascii="Arial" w:hAnsi="Arial" w:cs="Arial"/>
          <w:sz w:val="20"/>
          <w:szCs w:val="20"/>
        </w:rPr>
        <w:t xml:space="preserve"> (</w:t>
      </w:r>
      <w:r>
        <w:rPr>
          <w:rFonts w:hint="eastAsia" w:ascii="Arial" w:hAnsi="Arial" w:cs="Arial"/>
          <w:sz w:val="20"/>
          <w:szCs w:val="20"/>
          <w:lang w:val="en-US" w:eastAsia="zh-CN"/>
        </w:rPr>
        <w:t>CAD</w:t>
      </w:r>
      <w:r>
        <w:rPr>
          <w:rFonts w:ascii="Arial" w:hAnsi="Arial" w:cs="Arial"/>
          <w:sz w:val="20"/>
          <w:szCs w:val="20"/>
        </w:rPr>
        <w:t>).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</w:pP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 xml:space="preserve">Black dots indicate the IVW estimates (raw 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beta</w:t>
      </w: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 xml:space="preserve">) after leaving a SNP in the 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c</w:t>
      </w: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 xml:space="preserve">alculation. The red dots indicate the pooled IVW estimates (raw 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beta</w:t>
      </w:r>
      <w:r>
        <w:rPr>
          <w:rFonts w:hint="default" w:ascii="Arial" w:hAnsi="Arial" w:cs="Arial" w:eastAsiaTheme="minorEastAsia"/>
          <w:bCs/>
          <w:sz w:val="20"/>
          <w:szCs w:val="20"/>
          <w:lang w:eastAsia="zh-CN"/>
        </w:rPr>
        <w:t>). The horizontal line indicates the range of 95% confidence intervals</w:t>
      </w:r>
      <w:r>
        <w:rPr>
          <w:rFonts w:hint="eastAsia" w:ascii="Arial" w:hAnsi="Arial" w:cs="Arial"/>
          <w:bCs/>
          <w:sz w:val="20"/>
          <w:szCs w:val="20"/>
          <w:lang w:val="en-US" w:eastAsia="zh-CN"/>
        </w:rPr>
        <w:t>.</w:t>
      </w:r>
    </w:p>
    <w:sectPr>
      <w:pgSz w:w="11906" w:h="16838"/>
      <w:pgMar w:top="567" w:right="567" w:bottom="567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rtlGutter w:val="0"/>
      <w:docGrid w:type="lines"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-BoldMT">
    <w:altName w:val="等线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Helvetica-BoldObliqu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elvetica-Bold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AdvPSA183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nionPro-Regular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VerticalSpacing w:val="163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QzMTNmZmQ3MzhkODBiMTc3OWRjYTExNDg4ZTc2MWQifQ=="/>
  </w:docVars>
  <w:rsids>
    <w:rsidRoot w:val="00172A27"/>
    <w:rsid w:val="019E62EE"/>
    <w:rsid w:val="02C94932"/>
    <w:rsid w:val="0A224E72"/>
    <w:rsid w:val="0AC012D0"/>
    <w:rsid w:val="0C9273AC"/>
    <w:rsid w:val="11454D2E"/>
    <w:rsid w:val="1EC731A3"/>
    <w:rsid w:val="1F7339FD"/>
    <w:rsid w:val="24210875"/>
    <w:rsid w:val="2CAB0FCA"/>
    <w:rsid w:val="31F8496D"/>
    <w:rsid w:val="323E7282"/>
    <w:rsid w:val="34B92E31"/>
    <w:rsid w:val="37F66FC7"/>
    <w:rsid w:val="3A450494"/>
    <w:rsid w:val="3C3E0082"/>
    <w:rsid w:val="42732AC9"/>
    <w:rsid w:val="479B23BD"/>
    <w:rsid w:val="54A217D7"/>
    <w:rsid w:val="58B612AB"/>
    <w:rsid w:val="65800432"/>
    <w:rsid w:val="6E95199C"/>
    <w:rsid w:val="6F2E3C4A"/>
    <w:rsid w:val="70C4480F"/>
    <w:rsid w:val="71E2784B"/>
    <w:rsid w:val="7D384F0A"/>
    <w:rsid w:val="7DDE5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7">
    <w:name w:val="font11"/>
    <w:basedOn w:val="6"/>
    <w:qFormat/>
    <w:uiPriority w:val="0"/>
    <w:rPr>
      <w:rFonts w:hint="default" w:ascii="Arial" w:hAnsi="Arial" w:cs="Arial"/>
      <w:b/>
      <w:bCs/>
      <w:color w:val="000000"/>
      <w:sz w:val="16"/>
      <w:szCs w:val="16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5462</Words>
  <Characters>33771</Characters>
  <Lines>0</Lines>
  <Paragraphs>0</Paragraphs>
  <TotalTime>1</TotalTime>
  <ScaleCrop>false</ScaleCrop>
  <LinksUpToDate>false</LinksUpToDate>
  <CharactersWithSpaces>34944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2023-01-21T08:25:00Z</dcterms:created>
  <dc:creator>Lenovo</dc:creator>
  <cp:lastModifiedBy>zz培</cp:lastModifiedBy>
  <dcterms:modified xsi:type="dcterms:W3CDTF">2023-05-09T12:45:06Z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D8CBCB5CF2F1470DA2833E82156DCE03</vt:lpwstr>
  </property>
</Properties>
</file>